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83B7E" w14:textId="77777777" w:rsidR="00563712" w:rsidRDefault="00871B0A" w:rsidP="0075084D">
      <w:pPr>
        <w:pStyle w:val="Rubrik"/>
        <w:spacing w:after="0" w:line="480" w:lineRule="auto"/>
        <w:contextualSpacing w:val="0"/>
        <w:rPr>
          <w:rFonts w:ascii="Times New Roman" w:hAnsi="Times New Roman"/>
          <w:b/>
          <w:color w:val="auto"/>
          <w:sz w:val="32"/>
          <w:szCs w:val="32"/>
          <w:lang w:val="en-GB"/>
        </w:rPr>
      </w:pPr>
      <w:r w:rsidRPr="00563712">
        <w:rPr>
          <w:rFonts w:ascii="Times New Roman" w:hAnsi="Times New Roman"/>
          <w:b/>
          <w:color w:val="auto"/>
          <w:sz w:val="32"/>
          <w:szCs w:val="32"/>
          <w:lang w:val="en-GB"/>
        </w:rPr>
        <w:t xml:space="preserve">The Narrative of ‘Equality of Chances’ as an </w:t>
      </w:r>
      <w:r w:rsidR="00B60061" w:rsidRPr="00563712">
        <w:rPr>
          <w:rFonts w:ascii="Times New Roman" w:hAnsi="Times New Roman"/>
          <w:b/>
          <w:color w:val="auto"/>
          <w:sz w:val="32"/>
          <w:szCs w:val="32"/>
          <w:lang w:val="en-GB"/>
        </w:rPr>
        <w:t>A</w:t>
      </w:r>
      <w:r w:rsidRPr="00563712">
        <w:rPr>
          <w:rFonts w:ascii="Times New Roman" w:hAnsi="Times New Roman"/>
          <w:b/>
          <w:color w:val="auto"/>
          <w:sz w:val="32"/>
          <w:szCs w:val="32"/>
          <w:lang w:val="en-GB"/>
        </w:rPr>
        <w:t xml:space="preserve">pproach to </w:t>
      </w:r>
      <w:r w:rsidR="00B60061" w:rsidRPr="00563712">
        <w:rPr>
          <w:rFonts w:ascii="Times New Roman" w:hAnsi="Times New Roman"/>
          <w:b/>
          <w:color w:val="auto"/>
          <w:sz w:val="32"/>
          <w:szCs w:val="32"/>
          <w:lang w:val="en-GB"/>
        </w:rPr>
        <w:t>I</w:t>
      </w:r>
      <w:r w:rsidRPr="00563712">
        <w:rPr>
          <w:rFonts w:ascii="Times New Roman" w:hAnsi="Times New Roman"/>
          <w:b/>
          <w:color w:val="auto"/>
          <w:sz w:val="32"/>
          <w:szCs w:val="32"/>
          <w:lang w:val="en-GB"/>
        </w:rPr>
        <w:t>nterpret</w:t>
      </w:r>
      <w:r w:rsidR="00AA0D56" w:rsidRPr="00563712">
        <w:rPr>
          <w:rFonts w:ascii="Times New Roman" w:hAnsi="Times New Roman"/>
          <w:b/>
          <w:color w:val="auto"/>
          <w:sz w:val="32"/>
          <w:szCs w:val="32"/>
          <w:lang w:val="en-GB"/>
        </w:rPr>
        <w:t>ing</w:t>
      </w:r>
      <w:r w:rsidRPr="00563712">
        <w:rPr>
          <w:rFonts w:ascii="Times New Roman" w:hAnsi="Times New Roman"/>
          <w:b/>
          <w:color w:val="auto"/>
          <w:sz w:val="32"/>
          <w:szCs w:val="32"/>
          <w:lang w:val="en-GB"/>
        </w:rPr>
        <w:t xml:space="preserve"> PIAAC </w:t>
      </w:r>
      <w:r w:rsidR="00B60061" w:rsidRPr="00563712">
        <w:rPr>
          <w:rFonts w:ascii="Times New Roman" w:hAnsi="Times New Roman"/>
          <w:b/>
          <w:color w:val="auto"/>
          <w:sz w:val="32"/>
          <w:szCs w:val="32"/>
          <w:lang w:val="en-GB"/>
        </w:rPr>
        <w:t>R</w:t>
      </w:r>
      <w:r w:rsidRPr="00563712">
        <w:rPr>
          <w:rFonts w:ascii="Times New Roman" w:hAnsi="Times New Roman"/>
          <w:b/>
          <w:color w:val="auto"/>
          <w:sz w:val="32"/>
          <w:szCs w:val="32"/>
          <w:lang w:val="en-GB"/>
        </w:rPr>
        <w:t xml:space="preserve">esults on </w:t>
      </w:r>
      <w:r w:rsidR="00B60061" w:rsidRPr="00563712">
        <w:rPr>
          <w:rFonts w:ascii="Times New Roman" w:hAnsi="Times New Roman"/>
          <w:b/>
          <w:color w:val="auto"/>
          <w:sz w:val="32"/>
          <w:szCs w:val="32"/>
          <w:lang w:val="en-GB"/>
        </w:rPr>
        <w:t>P</w:t>
      </w:r>
      <w:r w:rsidRPr="00563712">
        <w:rPr>
          <w:rFonts w:ascii="Times New Roman" w:hAnsi="Times New Roman"/>
          <w:b/>
          <w:color w:val="auto"/>
          <w:sz w:val="32"/>
          <w:szCs w:val="32"/>
          <w:lang w:val="en-GB"/>
        </w:rPr>
        <w:t>erceived Political Efficacy</w:t>
      </w:r>
      <w:r w:rsidR="005D24D3" w:rsidRPr="00563712">
        <w:rPr>
          <w:rFonts w:ascii="Times New Roman" w:hAnsi="Times New Roman"/>
          <w:b/>
          <w:color w:val="auto"/>
          <w:sz w:val="32"/>
          <w:szCs w:val="32"/>
          <w:lang w:val="en-GB"/>
        </w:rPr>
        <w:t>, Social Trust and Volunteering and the Quest for Political Literacy</w:t>
      </w:r>
    </w:p>
    <w:p w14:paraId="297F0FA4" w14:textId="77777777" w:rsidR="00340C2A" w:rsidRPr="00563712" w:rsidRDefault="00563712" w:rsidP="00563712">
      <w:pPr>
        <w:rPr>
          <w:lang w:val="en-GB"/>
        </w:rPr>
      </w:pPr>
      <w:r>
        <w:rPr>
          <w:lang w:val="en-GB"/>
        </w:rPr>
        <w:t>Author: Anke Grotlüschen</w:t>
      </w:r>
      <w:r w:rsidR="00B60061" w:rsidRPr="00563712">
        <w:rPr>
          <w:lang w:val="en-GB"/>
        </w:rPr>
        <w:t xml:space="preserve"> </w:t>
      </w:r>
      <w:hyperlink r:id="rId8" w:history="1">
        <w:r w:rsidRPr="00D72C59">
          <w:rPr>
            <w:rStyle w:val="Hyperlnk"/>
            <w:lang w:val="en-GB"/>
          </w:rPr>
          <w:t>anke.grotlueschen@uni-hamburg.de</w:t>
        </w:r>
      </w:hyperlink>
      <w:r>
        <w:rPr>
          <w:lang w:val="en-GB"/>
        </w:rPr>
        <w:t xml:space="preserve"> </w:t>
      </w:r>
    </w:p>
    <w:p w14:paraId="0A87C945" w14:textId="77777777" w:rsidR="00861EED" w:rsidRPr="00563712" w:rsidRDefault="00861EED" w:rsidP="00D15A0D">
      <w:pPr>
        <w:spacing w:after="0" w:line="480" w:lineRule="auto"/>
        <w:rPr>
          <w:rFonts w:ascii="Garamond" w:hAnsi="Garamond"/>
          <w:lang w:val="en-GB"/>
        </w:rPr>
      </w:pPr>
    </w:p>
    <w:p w14:paraId="16410282" w14:textId="77777777" w:rsidR="00BB38D5" w:rsidRPr="00563712" w:rsidRDefault="00184F58" w:rsidP="005B3785">
      <w:pPr>
        <w:spacing w:after="0" w:line="480" w:lineRule="auto"/>
        <w:rPr>
          <w:rFonts w:ascii="Times New Roman" w:hAnsi="Times New Roman"/>
          <w:b/>
          <w:lang w:val="en-GB"/>
        </w:rPr>
      </w:pPr>
      <w:r w:rsidRPr="00563712">
        <w:rPr>
          <w:rFonts w:ascii="Times New Roman" w:hAnsi="Times New Roman"/>
          <w:b/>
          <w:lang w:val="en-GB"/>
        </w:rPr>
        <w:t>Abstract</w:t>
      </w:r>
    </w:p>
    <w:p w14:paraId="5709EFAB" w14:textId="77777777" w:rsidR="00871B0A" w:rsidRPr="00563712" w:rsidRDefault="00871B0A" w:rsidP="005B3785">
      <w:pPr>
        <w:spacing w:after="0" w:line="480" w:lineRule="auto"/>
        <w:rPr>
          <w:rFonts w:ascii="Times New Roman" w:hAnsi="Times New Roman"/>
          <w:b/>
          <w:lang w:val="en-GB"/>
        </w:rPr>
      </w:pPr>
    </w:p>
    <w:p w14:paraId="333C6709" w14:textId="77777777" w:rsidR="000F2F5E" w:rsidRPr="00563712" w:rsidRDefault="00733274" w:rsidP="00A1171C">
      <w:pPr>
        <w:spacing w:line="480" w:lineRule="auto"/>
        <w:rPr>
          <w:rFonts w:ascii="Garamond" w:hAnsi="Garamond"/>
          <w:lang w:val="en-GB"/>
        </w:rPr>
      </w:pPr>
      <w:r w:rsidRPr="00563712">
        <w:rPr>
          <w:rFonts w:ascii="Times New Roman" w:hAnsi="Times New Roman"/>
          <w:lang w:val="en-GB"/>
        </w:rPr>
        <w:t xml:space="preserve">The article focuses </w:t>
      </w:r>
      <w:r w:rsidR="00AA0D56" w:rsidRPr="00563712">
        <w:rPr>
          <w:rFonts w:ascii="Times New Roman" w:hAnsi="Times New Roman"/>
          <w:lang w:val="en-GB"/>
        </w:rPr>
        <w:t xml:space="preserve">on </w:t>
      </w:r>
      <w:r w:rsidRPr="00563712">
        <w:rPr>
          <w:rFonts w:ascii="Times New Roman" w:hAnsi="Times New Roman"/>
          <w:lang w:val="en-GB"/>
        </w:rPr>
        <w:t>the</w:t>
      </w:r>
      <w:r w:rsidR="00A1171C" w:rsidRPr="00563712">
        <w:rPr>
          <w:rFonts w:ascii="Times New Roman" w:hAnsi="Times New Roman"/>
          <w:lang w:val="en-GB"/>
        </w:rPr>
        <w:t xml:space="preserve"> theoretically</w:t>
      </w:r>
      <w:bookmarkStart w:id="0" w:name="_GoBack"/>
      <w:bookmarkEnd w:id="0"/>
      <w:r w:rsidR="00A1171C" w:rsidRPr="00563712">
        <w:rPr>
          <w:rFonts w:ascii="Times New Roman" w:hAnsi="Times New Roman"/>
          <w:lang w:val="en-GB"/>
        </w:rPr>
        <w:t xml:space="preserve"> and empirically addressed</w:t>
      </w:r>
      <w:r w:rsidRPr="00563712">
        <w:rPr>
          <w:rFonts w:ascii="Times New Roman" w:hAnsi="Times New Roman"/>
          <w:lang w:val="en-GB"/>
        </w:rPr>
        <w:t xml:space="preserve"> question </w:t>
      </w:r>
      <w:r w:rsidR="00AA0D56" w:rsidRPr="00563712">
        <w:rPr>
          <w:rFonts w:ascii="Times New Roman" w:hAnsi="Times New Roman"/>
          <w:lang w:val="en-GB"/>
        </w:rPr>
        <w:t xml:space="preserve">of </w:t>
      </w:r>
      <w:r w:rsidRPr="00563712">
        <w:rPr>
          <w:rFonts w:ascii="Times New Roman" w:hAnsi="Times New Roman"/>
          <w:lang w:val="en-GB"/>
        </w:rPr>
        <w:t xml:space="preserve">whether workforce literacy strategies in research and policies may tend to exclude relevant fields of literacy, which have emancipatory chances for participants, but which regularly fail </w:t>
      </w:r>
      <w:r w:rsidR="00AA0D56" w:rsidRPr="00563712">
        <w:rPr>
          <w:rFonts w:ascii="Times New Roman" w:hAnsi="Times New Roman"/>
          <w:lang w:val="en-GB"/>
        </w:rPr>
        <w:t>to</w:t>
      </w:r>
      <w:r w:rsidRPr="00563712">
        <w:rPr>
          <w:rFonts w:ascii="Times New Roman" w:hAnsi="Times New Roman"/>
          <w:lang w:val="en-GB"/>
        </w:rPr>
        <w:t xml:space="preserve"> includ</w:t>
      </w:r>
      <w:r w:rsidR="00AA0D56" w:rsidRPr="00563712">
        <w:rPr>
          <w:rFonts w:ascii="Times New Roman" w:hAnsi="Times New Roman"/>
          <w:lang w:val="en-GB"/>
        </w:rPr>
        <w:t>e</w:t>
      </w:r>
      <w:r w:rsidRPr="00563712">
        <w:rPr>
          <w:rFonts w:ascii="Times New Roman" w:hAnsi="Times New Roman"/>
          <w:lang w:val="en-GB"/>
        </w:rPr>
        <w:t xml:space="preserve"> low qualified or literate adults (Hufer</w:t>
      </w:r>
      <w:r w:rsidR="007F14E7" w:rsidRPr="00563712">
        <w:rPr>
          <w:rFonts w:ascii="Times New Roman" w:hAnsi="Times New Roman"/>
          <w:lang w:val="en-GB"/>
        </w:rPr>
        <w:t>,</w:t>
      </w:r>
      <w:r w:rsidRPr="00563712">
        <w:rPr>
          <w:rFonts w:ascii="Times New Roman" w:hAnsi="Times New Roman"/>
          <w:lang w:val="en-GB"/>
        </w:rPr>
        <w:t xml:space="preserve"> 2013), namely the area of basic civic education</w:t>
      </w:r>
      <w:r w:rsidR="005D24D3" w:rsidRPr="00563712">
        <w:rPr>
          <w:rFonts w:ascii="Times New Roman" w:hAnsi="Times New Roman"/>
          <w:lang w:val="en-GB"/>
        </w:rPr>
        <w:t xml:space="preserve"> or political literacy</w:t>
      </w:r>
      <w:r w:rsidRPr="00563712">
        <w:rPr>
          <w:rFonts w:ascii="Times New Roman" w:hAnsi="Times New Roman"/>
          <w:lang w:val="en-GB"/>
        </w:rPr>
        <w:t xml:space="preserve">. </w:t>
      </w:r>
      <w:r w:rsidR="00A1171C" w:rsidRPr="00563712">
        <w:rPr>
          <w:rFonts w:ascii="Times New Roman" w:hAnsi="Times New Roman"/>
          <w:lang w:val="en-GB"/>
        </w:rPr>
        <w:t xml:space="preserve">First, a </w:t>
      </w:r>
      <w:r w:rsidR="00A1171C" w:rsidRPr="00563712">
        <w:rPr>
          <w:rFonts w:ascii="Times New Roman" w:hAnsi="Times New Roman"/>
          <w:i/>
          <w:lang w:val="en-GB"/>
        </w:rPr>
        <w:t>theoretical discussion</w:t>
      </w:r>
      <w:r w:rsidR="00A1171C" w:rsidRPr="00563712">
        <w:rPr>
          <w:rFonts w:ascii="Times New Roman" w:hAnsi="Times New Roman"/>
          <w:lang w:val="en-GB"/>
        </w:rPr>
        <w:t xml:space="preserve"> makes use of recent publications. </w:t>
      </w:r>
      <w:r w:rsidRPr="00563712">
        <w:rPr>
          <w:rFonts w:ascii="Times New Roman" w:hAnsi="Times New Roman"/>
          <w:lang w:val="en-GB"/>
        </w:rPr>
        <w:t>The relevance of basic civic education will be discussed using contemporary theories, which point at a crisis of democracy and explain this by the spread of income and capital (Piketty</w:t>
      </w:r>
      <w:r w:rsidR="007F14E7" w:rsidRPr="00563712">
        <w:rPr>
          <w:rFonts w:ascii="Times New Roman" w:hAnsi="Times New Roman"/>
          <w:lang w:val="en-GB"/>
        </w:rPr>
        <w:t>,</w:t>
      </w:r>
      <w:r w:rsidR="002C2911" w:rsidRPr="00563712">
        <w:rPr>
          <w:rFonts w:ascii="Times New Roman" w:hAnsi="Times New Roman"/>
          <w:lang w:val="en-GB"/>
        </w:rPr>
        <w:t xml:space="preserve"> 2014</w:t>
      </w:r>
      <w:r w:rsidRPr="00563712">
        <w:rPr>
          <w:rFonts w:ascii="Times New Roman" w:hAnsi="Times New Roman"/>
          <w:lang w:val="en-GB"/>
        </w:rPr>
        <w:t>) and its legitimation (Rosanvallon</w:t>
      </w:r>
      <w:r w:rsidR="007F14E7" w:rsidRPr="00563712">
        <w:rPr>
          <w:rFonts w:ascii="Times New Roman" w:hAnsi="Times New Roman"/>
          <w:lang w:val="en-GB"/>
        </w:rPr>
        <w:t>,</w:t>
      </w:r>
      <w:r w:rsidR="002C2911" w:rsidRPr="00563712">
        <w:rPr>
          <w:rFonts w:ascii="Times New Roman" w:hAnsi="Times New Roman"/>
          <w:lang w:val="en-GB"/>
        </w:rPr>
        <w:t xml:space="preserve"> 2013</w:t>
      </w:r>
      <w:r w:rsidRPr="00563712">
        <w:rPr>
          <w:rFonts w:ascii="Times New Roman" w:hAnsi="Times New Roman"/>
          <w:lang w:val="en-GB"/>
        </w:rPr>
        <w:t>). Further detail is provided by using Rosanvallons criticism o</w:t>
      </w:r>
      <w:r w:rsidR="00AA0D56" w:rsidRPr="00563712">
        <w:rPr>
          <w:rFonts w:ascii="Times New Roman" w:hAnsi="Times New Roman"/>
          <w:lang w:val="en-GB"/>
        </w:rPr>
        <w:t>f</w:t>
      </w:r>
      <w:r w:rsidRPr="00563712">
        <w:rPr>
          <w:rFonts w:ascii="Times New Roman" w:hAnsi="Times New Roman"/>
          <w:lang w:val="en-GB"/>
        </w:rPr>
        <w:t xml:space="preserve"> the term ‘equality of chances’. </w:t>
      </w:r>
      <w:r w:rsidR="009C250D" w:rsidRPr="00563712">
        <w:rPr>
          <w:rFonts w:ascii="Times New Roman" w:hAnsi="Times New Roman"/>
          <w:lang w:val="en-GB"/>
        </w:rPr>
        <w:t xml:space="preserve">The everyday unfairness, covered by the narrative of equal chances, leads to peoples’ disengagement </w:t>
      </w:r>
      <w:r w:rsidR="00AA0D56" w:rsidRPr="00563712">
        <w:rPr>
          <w:rFonts w:ascii="Times New Roman" w:hAnsi="Times New Roman"/>
          <w:lang w:val="en-GB"/>
        </w:rPr>
        <w:t xml:space="preserve">from </w:t>
      </w:r>
      <w:r w:rsidR="009C250D" w:rsidRPr="00563712">
        <w:rPr>
          <w:rFonts w:ascii="Times New Roman" w:hAnsi="Times New Roman"/>
          <w:lang w:val="en-GB"/>
        </w:rPr>
        <w:t xml:space="preserve">reciprocal relations and </w:t>
      </w:r>
      <w:r w:rsidR="00CC7896" w:rsidRPr="00563712">
        <w:rPr>
          <w:rFonts w:ascii="Times New Roman" w:hAnsi="Times New Roman"/>
          <w:lang w:val="en-GB"/>
        </w:rPr>
        <w:t>disintegration</w:t>
      </w:r>
      <w:r w:rsidR="00DF2586" w:rsidRPr="00563712">
        <w:rPr>
          <w:rFonts w:ascii="Times New Roman" w:hAnsi="Times New Roman"/>
          <w:lang w:val="en-GB"/>
        </w:rPr>
        <w:t xml:space="preserve"> of</w:t>
      </w:r>
      <w:r w:rsidR="00CC7896" w:rsidRPr="00563712">
        <w:rPr>
          <w:rFonts w:ascii="Times New Roman" w:hAnsi="Times New Roman"/>
          <w:lang w:val="en-GB"/>
        </w:rPr>
        <w:t xml:space="preserve"> </w:t>
      </w:r>
      <w:r w:rsidR="009C250D" w:rsidRPr="00563712">
        <w:rPr>
          <w:rFonts w:ascii="Times New Roman" w:hAnsi="Times New Roman"/>
          <w:lang w:val="en-GB"/>
        </w:rPr>
        <w:t>solidarity within a society. Th</w:t>
      </w:r>
      <w:r w:rsidR="004A78BA" w:rsidRPr="00563712">
        <w:rPr>
          <w:rFonts w:ascii="Times New Roman" w:hAnsi="Times New Roman"/>
          <w:lang w:val="en-GB"/>
        </w:rPr>
        <w:t>is</w:t>
      </w:r>
      <w:r w:rsidR="009C250D" w:rsidRPr="00563712">
        <w:rPr>
          <w:rFonts w:ascii="Times New Roman" w:hAnsi="Times New Roman"/>
          <w:lang w:val="en-GB"/>
        </w:rPr>
        <w:t xml:space="preserve"> </w:t>
      </w:r>
      <w:r w:rsidR="009C250D" w:rsidRPr="00563712">
        <w:rPr>
          <w:rFonts w:ascii="Times New Roman" w:hAnsi="Times New Roman"/>
          <w:i/>
          <w:lang w:val="en-GB"/>
        </w:rPr>
        <w:t>theoretical approach</w:t>
      </w:r>
      <w:r w:rsidR="009C250D" w:rsidRPr="00563712">
        <w:rPr>
          <w:rFonts w:ascii="Times New Roman" w:hAnsi="Times New Roman"/>
          <w:lang w:val="en-GB"/>
        </w:rPr>
        <w:t xml:space="preserve"> will </w:t>
      </w:r>
      <w:r w:rsidR="00A1171C" w:rsidRPr="00563712">
        <w:rPr>
          <w:rFonts w:ascii="Times New Roman" w:hAnsi="Times New Roman"/>
          <w:lang w:val="en-GB"/>
        </w:rPr>
        <w:t xml:space="preserve">then </w:t>
      </w:r>
      <w:r w:rsidR="009C250D" w:rsidRPr="00563712">
        <w:rPr>
          <w:rFonts w:ascii="Times New Roman" w:hAnsi="Times New Roman"/>
          <w:lang w:val="en-GB"/>
        </w:rPr>
        <w:t xml:space="preserve">be </w:t>
      </w:r>
      <w:r w:rsidR="006064EC" w:rsidRPr="00563712">
        <w:rPr>
          <w:rFonts w:ascii="Times New Roman" w:hAnsi="Times New Roman"/>
          <w:lang w:val="en-GB"/>
        </w:rPr>
        <w:t xml:space="preserve">supplemented </w:t>
      </w:r>
      <w:r w:rsidR="00AA0D56" w:rsidRPr="00563712">
        <w:rPr>
          <w:rFonts w:ascii="Times New Roman" w:hAnsi="Times New Roman"/>
          <w:lang w:val="en-GB"/>
        </w:rPr>
        <w:t xml:space="preserve">by </w:t>
      </w:r>
      <w:r w:rsidR="009C250D" w:rsidRPr="00563712">
        <w:rPr>
          <w:rFonts w:ascii="Times New Roman" w:hAnsi="Times New Roman"/>
          <w:i/>
          <w:lang w:val="en-GB"/>
        </w:rPr>
        <w:t>empirical data</w:t>
      </w:r>
      <w:r w:rsidR="00A1171C" w:rsidRPr="00563712">
        <w:rPr>
          <w:rFonts w:ascii="Times New Roman" w:hAnsi="Times New Roman"/>
          <w:i/>
          <w:lang w:val="en-GB"/>
        </w:rPr>
        <w:t xml:space="preserve">. The empirical research question is: </w:t>
      </w:r>
      <w:r w:rsidR="009C250D" w:rsidRPr="00563712">
        <w:rPr>
          <w:rFonts w:ascii="Times New Roman" w:hAnsi="Times New Roman"/>
          <w:lang w:val="en-GB"/>
        </w:rPr>
        <w:t xml:space="preserve"> </w:t>
      </w:r>
      <w:r w:rsidR="00A1171C" w:rsidRPr="00563712">
        <w:rPr>
          <w:rFonts w:ascii="Times New Roman" w:hAnsi="Times New Roman"/>
          <w:lang w:val="en-GB"/>
        </w:rPr>
        <w:t xml:space="preserve">Do adults with low literacy skills agree less often on feelings of </w:t>
      </w:r>
      <w:r w:rsidR="00A1171C" w:rsidRPr="00563712">
        <w:rPr>
          <w:rFonts w:ascii="Times New Roman" w:hAnsi="Times New Roman"/>
          <w:i/>
          <w:lang w:val="en-GB"/>
        </w:rPr>
        <w:t>political efficacy</w:t>
      </w:r>
      <w:r w:rsidR="00A1171C" w:rsidRPr="00563712">
        <w:rPr>
          <w:rFonts w:ascii="Times New Roman" w:hAnsi="Times New Roman"/>
          <w:lang w:val="en-GB"/>
        </w:rPr>
        <w:t xml:space="preserve"> and </w:t>
      </w:r>
      <w:r w:rsidR="00A1171C" w:rsidRPr="00563712">
        <w:rPr>
          <w:rFonts w:ascii="Times New Roman" w:hAnsi="Times New Roman"/>
          <w:i/>
          <w:lang w:val="en-GB"/>
        </w:rPr>
        <w:t>social trust</w:t>
      </w:r>
      <w:r w:rsidR="006064EC" w:rsidRPr="00563712">
        <w:rPr>
          <w:rFonts w:ascii="Times New Roman" w:hAnsi="Times New Roman"/>
          <w:i/>
          <w:lang w:val="en-GB"/>
        </w:rPr>
        <w:t xml:space="preserve"> </w:t>
      </w:r>
      <w:r w:rsidR="006064EC" w:rsidRPr="00563712">
        <w:rPr>
          <w:rFonts w:ascii="Times New Roman" w:hAnsi="Times New Roman"/>
          <w:lang w:val="en-GB"/>
        </w:rPr>
        <w:t>than adults with high literacy skills</w:t>
      </w:r>
      <w:r w:rsidR="00A1171C" w:rsidRPr="00563712">
        <w:rPr>
          <w:rFonts w:ascii="Times New Roman" w:hAnsi="Times New Roman"/>
          <w:lang w:val="en-GB"/>
        </w:rPr>
        <w:t xml:space="preserve">? Do they engage less often in </w:t>
      </w:r>
      <w:r w:rsidR="00A1171C" w:rsidRPr="00563712">
        <w:rPr>
          <w:rFonts w:ascii="Times New Roman" w:hAnsi="Times New Roman"/>
          <w:i/>
          <w:lang w:val="en-GB"/>
        </w:rPr>
        <w:t>volunteering</w:t>
      </w:r>
      <w:r w:rsidR="00A1171C" w:rsidRPr="00563712">
        <w:rPr>
          <w:rFonts w:ascii="Times New Roman" w:hAnsi="Times New Roman"/>
          <w:lang w:val="en-GB"/>
        </w:rPr>
        <w:t xml:space="preserve"> than adults with high literacy skills? This is based </w:t>
      </w:r>
      <w:r w:rsidR="009C250D" w:rsidRPr="00563712">
        <w:rPr>
          <w:rFonts w:ascii="Times New Roman" w:hAnsi="Times New Roman"/>
          <w:lang w:val="en-GB"/>
        </w:rPr>
        <w:t xml:space="preserve">the PIAAC </w:t>
      </w:r>
      <w:r w:rsidR="008A5E0E" w:rsidRPr="00563712">
        <w:rPr>
          <w:rFonts w:ascii="Times New Roman" w:hAnsi="Times New Roman"/>
          <w:lang w:val="en-GB"/>
        </w:rPr>
        <w:t xml:space="preserve">2012 </w:t>
      </w:r>
      <w:r w:rsidR="009C250D" w:rsidRPr="00563712">
        <w:rPr>
          <w:rFonts w:ascii="Times New Roman" w:hAnsi="Times New Roman"/>
          <w:lang w:val="en-GB"/>
        </w:rPr>
        <w:t>dataset which relate</w:t>
      </w:r>
      <w:r w:rsidR="006064EC" w:rsidRPr="00563712">
        <w:rPr>
          <w:rFonts w:ascii="Times New Roman" w:hAnsi="Times New Roman"/>
          <w:lang w:val="en-GB"/>
        </w:rPr>
        <w:t>s</w:t>
      </w:r>
      <w:r w:rsidR="009C250D" w:rsidRPr="00563712">
        <w:rPr>
          <w:rFonts w:ascii="Times New Roman" w:hAnsi="Times New Roman"/>
          <w:lang w:val="en-GB"/>
        </w:rPr>
        <w:t xml:space="preserve"> </w:t>
      </w:r>
      <w:r w:rsidR="009C250D" w:rsidRPr="00563712">
        <w:rPr>
          <w:rFonts w:ascii="Times New Roman" w:hAnsi="Times New Roman"/>
          <w:i/>
          <w:lang w:val="en-GB"/>
        </w:rPr>
        <w:t>literacy</w:t>
      </w:r>
      <w:r w:rsidR="009C250D" w:rsidRPr="00563712">
        <w:rPr>
          <w:rFonts w:ascii="Times New Roman" w:hAnsi="Times New Roman"/>
          <w:lang w:val="en-GB"/>
        </w:rPr>
        <w:t xml:space="preserve"> on the one hand with </w:t>
      </w:r>
      <w:r w:rsidR="009C250D" w:rsidRPr="00563712">
        <w:rPr>
          <w:rFonts w:ascii="Times New Roman" w:hAnsi="Times New Roman"/>
          <w:i/>
          <w:lang w:val="en-GB"/>
        </w:rPr>
        <w:t xml:space="preserve">variables </w:t>
      </w:r>
      <w:r w:rsidR="00AA0D56" w:rsidRPr="00563712">
        <w:rPr>
          <w:rFonts w:ascii="Times New Roman" w:hAnsi="Times New Roman"/>
          <w:i/>
          <w:lang w:val="en-GB"/>
        </w:rPr>
        <w:t>of</w:t>
      </w:r>
      <w:r w:rsidR="009C250D" w:rsidRPr="00563712">
        <w:rPr>
          <w:rFonts w:ascii="Times New Roman" w:hAnsi="Times New Roman"/>
          <w:i/>
          <w:lang w:val="en-GB"/>
        </w:rPr>
        <w:t xml:space="preserve"> political efficacy, social trust and volunteering</w:t>
      </w:r>
      <w:r w:rsidR="009C250D" w:rsidRPr="00563712">
        <w:rPr>
          <w:rFonts w:ascii="Times New Roman" w:hAnsi="Times New Roman"/>
          <w:lang w:val="en-GB"/>
        </w:rPr>
        <w:t xml:space="preserve"> on the other hand. Results will be compared with </w:t>
      </w:r>
      <w:r w:rsidR="009C250D" w:rsidRPr="00563712">
        <w:rPr>
          <w:rFonts w:ascii="Times New Roman" w:hAnsi="Times New Roman"/>
          <w:lang w:val="en-GB"/>
        </w:rPr>
        <w:lastRenderedPageBreak/>
        <w:t xml:space="preserve">volunteer and youth surveys. Furthermore, the connection of a </w:t>
      </w:r>
      <w:r w:rsidR="00B13C5E" w:rsidRPr="00563712">
        <w:rPr>
          <w:rFonts w:ascii="Times New Roman" w:hAnsi="Times New Roman"/>
          <w:lang w:val="en-GB"/>
        </w:rPr>
        <w:t>“</w:t>
      </w:r>
      <w:r w:rsidR="00275B0F" w:rsidRPr="00563712">
        <w:rPr>
          <w:rFonts w:ascii="Times New Roman" w:hAnsi="Times New Roman"/>
          <w:lang w:val="en-GB"/>
        </w:rPr>
        <w:t>Nouvelle Droite</w:t>
      </w:r>
      <w:r w:rsidR="00B13C5E" w:rsidRPr="00563712">
        <w:rPr>
          <w:rFonts w:ascii="Times New Roman" w:hAnsi="Times New Roman"/>
          <w:lang w:val="en-GB"/>
        </w:rPr>
        <w:t>”</w:t>
      </w:r>
      <w:r w:rsidR="009C250D" w:rsidRPr="00563712">
        <w:rPr>
          <w:rFonts w:ascii="Times New Roman" w:hAnsi="Times New Roman"/>
          <w:lang w:val="en-GB"/>
        </w:rPr>
        <w:t xml:space="preserve"> </w:t>
      </w:r>
      <w:r w:rsidR="00B13C5E" w:rsidRPr="00563712">
        <w:rPr>
          <w:rFonts w:ascii="Times New Roman" w:hAnsi="Times New Roman"/>
          <w:lang w:val="en-GB"/>
        </w:rPr>
        <w:t xml:space="preserve">(contemporary right-wing populism) </w:t>
      </w:r>
      <w:r w:rsidR="009C250D" w:rsidRPr="00563712">
        <w:rPr>
          <w:rFonts w:ascii="Times New Roman" w:hAnsi="Times New Roman"/>
          <w:lang w:val="en-GB"/>
        </w:rPr>
        <w:t xml:space="preserve">and peoples’ low feelings of political efficacy will be reflected in order to </w:t>
      </w:r>
      <w:r w:rsidR="00AA0D56" w:rsidRPr="00563712">
        <w:rPr>
          <w:rFonts w:ascii="Times New Roman" w:hAnsi="Times New Roman"/>
          <w:lang w:val="en-GB"/>
        </w:rPr>
        <w:t>refute</w:t>
      </w:r>
      <w:r w:rsidR="009C250D" w:rsidRPr="00563712">
        <w:rPr>
          <w:rFonts w:ascii="Times New Roman" w:hAnsi="Times New Roman"/>
          <w:lang w:val="en-GB"/>
        </w:rPr>
        <w:t xml:space="preserve"> the stereotype</w:t>
      </w:r>
      <w:r w:rsidR="00AA0D56" w:rsidRPr="00563712">
        <w:rPr>
          <w:rFonts w:ascii="Times New Roman" w:hAnsi="Times New Roman"/>
          <w:lang w:val="en-GB"/>
        </w:rPr>
        <w:t xml:space="preserve"> that</w:t>
      </w:r>
      <w:r w:rsidR="009C250D" w:rsidRPr="00563712">
        <w:rPr>
          <w:rFonts w:ascii="Times New Roman" w:hAnsi="Times New Roman"/>
          <w:lang w:val="en-GB"/>
        </w:rPr>
        <w:t xml:space="preserve"> marginalized groups automatically become voters of right-wing populists.</w:t>
      </w:r>
    </w:p>
    <w:p w14:paraId="2F499E09" w14:textId="77777777" w:rsidR="005B3785" w:rsidRPr="00563712" w:rsidRDefault="005B3785" w:rsidP="005B3785">
      <w:pPr>
        <w:spacing w:line="480" w:lineRule="auto"/>
        <w:rPr>
          <w:rFonts w:ascii="Times New Roman" w:hAnsi="Times New Roman"/>
          <w:lang w:val="en-GB"/>
        </w:rPr>
      </w:pPr>
    </w:p>
    <w:p w14:paraId="364089F9" w14:textId="77777777" w:rsidR="000F2F5E" w:rsidRPr="00563712" w:rsidRDefault="000F2F5E" w:rsidP="005B3785">
      <w:pPr>
        <w:spacing w:after="0" w:line="480" w:lineRule="auto"/>
        <w:rPr>
          <w:rFonts w:ascii="Times New Roman" w:hAnsi="Times New Roman"/>
          <w:lang w:val="en-GB"/>
        </w:rPr>
      </w:pPr>
      <w:r w:rsidRPr="00563712">
        <w:rPr>
          <w:rFonts w:ascii="Times New Roman" w:hAnsi="Times New Roman"/>
          <w:b/>
          <w:lang w:val="en-GB"/>
        </w:rPr>
        <w:t>Key words</w:t>
      </w:r>
      <w:r w:rsidR="00B616F1" w:rsidRPr="00563712">
        <w:rPr>
          <w:rFonts w:ascii="Times New Roman" w:hAnsi="Times New Roman"/>
          <w:lang w:val="en-GB"/>
        </w:rPr>
        <w:t>:</w:t>
      </w:r>
      <w:r w:rsidR="005D24D3" w:rsidRPr="00563712">
        <w:rPr>
          <w:rFonts w:ascii="Times New Roman" w:hAnsi="Times New Roman"/>
          <w:lang w:val="en-GB"/>
        </w:rPr>
        <w:t xml:space="preserve"> political literacy,</w:t>
      </w:r>
      <w:r w:rsidRPr="00563712">
        <w:rPr>
          <w:rFonts w:ascii="Times New Roman" w:hAnsi="Times New Roman"/>
          <w:lang w:val="en-GB"/>
        </w:rPr>
        <w:t xml:space="preserve"> citizenship education, basic citizenship education, PIAAC, literacy, society of equals</w:t>
      </w:r>
    </w:p>
    <w:p w14:paraId="64F9F2F7" w14:textId="77777777" w:rsidR="000F2F5E" w:rsidRPr="00563712" w:rsidRDefault="000F2F5E" w:rsidP="005B3785">
      <w:pPr>
        <w:spacing w:after="0" w:line="480" w:lineRule="auto"/>
        <w:rPr>
          <w:rFonts w:ascii="Garamond" w:hAnsi="Garamond"/>
          <w:lang w:val="en-GB"/>
        </w:rPr>
      </w:pPr>
    </w:p>
    <w:p w14:paraId="63EAE1F1" w14:textId="77777777" w:rsidR="000F2F5E" w:rsidRPr="00563712" w:rsidRDefault="003727F5" w:rsidP="005B3785">
      <w:pPr>
        <w:pStyle w:val="Rubrik1"/>
        <w:numPr>
          <w:ilvl w:val="0"/>
          <w:numId w:val="30"/>
        </w:numPr>
        <w:spacing w:before="0" w:line="480" w:lineRule="auto"/>
        <w:ind w:left="360"/>
        <w:rPr>
          <w:rFonts w:ascii="Times New Roman" w:hAnsi="Times New Roman"/>
          <w:color w:val="auto"/>
          <w:lang w:val="en-GB"/>
        </w:rPr>
      </w:pPr>
      <w:r w:rsidRPr="00563712">
        <w:rPr>
          <w:rFonts w:ascii="Times New Roman" w:hAnsi="Times New Roman"/>
          <w:color w:val="auto"/>
          <w:lang w:val="en-GB"/>
        </w:rPr>
        <w:t>Introduction</w:t>
      </w:r>
    </w:p>
    <w:p w14:paraId="44EAD030" w14:textId="77777777" w:rsidR="005B3785" w:rsidRPr="00563712" w:rsidRDefault="005B3785" w:rsidP="005B3785">
      <w:pPr>
        <w:spacing w:after="0" w:line="480" w:lineRule="auto"/>
        <w:rPr>
          <w:rFonts w:ascii="Times New Roman" w:hAnsi="Times New Roman"/>
          <w:lang w:val="en-GB"/>
        </w:rPr>
      </w:pPr>
    </w:p>
    <w:p w14:paraId="7F41A204" w14:textId="77777777" w:rsidR="005B3785" w:rsidRPr="00563712" w:rsidRDefault="00365C76" w:rsidP="005B3785">
      <w:pPr>
        <w:spacing w:after="0" w:line="480" w:lineRule="auto"/>
        <w:rPr>
          <w:rFonts w:ascii="Times New Roman" w:hAnsi="Times New Roman"/>
          <w:lang w:val="en-GB"/>
        </w:rPr>
      </w:pPr>
      <w:r w:rsidRPr="00563712">
        <w:rPr>
          <w:rFonts w:ascii="Times New Roman" w:hAnsi="Times New Roman"/>
          <w:lang w:val="en-GB"/>
        </w:rPr>
        <w:t>National strategies for literacy</w:t>
      </w:r>
      <w:r w:rsidR="00B616F1" w:rsidRPr="00563712">
        <w:rPr>
          <w:rStyle w:val="Slutnotsreferens"/>
          <w:rFonts w:ascii="Times New Roman" w:hAnsi="Times New Roman"/>
          <w:lang w:val="en-GB"/>
        </w:rPr>
        <w:endnoteReference w:id="2"/>
      </w:r>
      <w:r w:rsidR="00B616F1" w:rsidRPr="00563712">
        <w:rPr>
          <w:rFonts w:ascii="Times New Roman" w:hAnsi="Times New Roman"/>
          <w:lang w:val="en-GB"/>
        </w:rPr>
        <w:t xml:space="preserve"> have often been launched as an answer to large-scale assessments, like the Programme for the International Assessment of Adult Competencies (PIAAC) or the German Level-One Survey (LEO). The strategies focus on employment and employability, workplace and family literacy. </w:t>
      </w:r>
    </w:p>
    <w:p w14:paraId="13F178D4" w14:textId="77777777" w:rsidR="00B616F1" w:rsidRPr="00563712" w:rsidRDefault="00B616F1" w:rsidP="005B3785">
      <w:pPr>
        <w:spacing w:after="0" w:line="480" w:lineRule="auto"/>
        <w:rPr>
          <w:rFonts w:ascii="Times New Roman" w:hAnsi="Times New Roman"/>
          <w:lang w:val="en-GB"/>
        </w:rPr>
      </w:pPr>
      <w:r w:rsidRPr="00563712">
        <w:rPr>
          <w:rFonts w:ascii="Times New Roman" w:hAnsi="Times New Roman"/>
          <w:lang w:val="en-GB"/>
        </w:rPr>
        <w:t>Literacy is a value on its own, without needing legitimization via employability. Indeed, the Austrian scientist Ribolits points out that literacy is relevant for humanistic reasons and also potentially enables people to act in a non-alienated, emancipated way (Ribolits</w:t>
      </w:r>
      <w:r w:rsidR="007F14E7" w:rsidRPr="00563712">
        <w:rPr>
          <w:rFonts w:ascii="Times New Roman" w:hAnsi="Times New Roman"/>
          <w:lang w:val="en-GB"/>
        </w:rPr>
        <w:t>,</w:t>
      </w:r>
      <w:r w:rsidRPr="00563712">
        <w:rPr>
          <w:rFonts w:ascii="Times New Roman" w:hAnsi="Times New Roman"/>
          <w:lang w:val="en-GB"/>
        </w:rPr>
        <w:t xml:space="preserve"> 2009). The economic argument, however, is not the only one driving national strategies for literacy. As the French economist Thomas Piketty (2014) and the French philosopher Pierre Rosanvallon (2013) discuss (see below), societies are losing their cohesion. Financial and social inequalities and the narrative of equal chances may lead to the instabililty of democracies. By not addressing countries as economies but as democracies, the attention shifts remarkably.</w:t>
      </w:r>
    </w:p>
    <w:p w14:paraId="31B51CC8" w14:textId="77777777" w:rsidR="00B616F1" w:rsidRPr="00563712" w:rsidRDefault="00B616F1" w:rsidP="005B3785">
      <w:pPr>
        <w:spacing w:after="0" w:line="480" w:lineRule="auto"/>
        <w:rPr>
          <w:rFonts w:ascii="Times New Roman" w:hAnsi="Times New Roman"/>
          <w:lang w:val="en-GB"/>
        </w:rPr>
      </w:pPr>
    </w:p>
    <w:p w14:paraId="0C1DEE3D" w14:textId="77777777" w:rsidR="00B616F1" w:rsidRPr="00563712" w:rsidRDefault="00B616F1" w:rsidP="005B3785">
      <w:pPr>
        <w:spacing w:after="0" w:line="480" w:lineRule="auto"/>
        <w:rPr>
          <w:rFonts w:ascii="Times New Roman" w:hAnsi="Times New Roman"/>
          <w:lang w:val="en-GB"/>
        </w:rPr>
      </w:pPr>
      <w:r w:rsidRPr="00563712">
        <w:rPr>
          <w:rFonts w:ascii="Times New Roman" w:hAnsi="Times New Roman"/>
          <w:lang w:val="en-GB"/>
        </w:rPr>
        <w:t xml:space="preserve">Therefore this article </w:t>
      </w:r>
      <w:r w:rsidR="00B13C5E" w:rsidRPr="00563712">
        <w:rPr>
          <w:rFonts w:ascii="Times New Roman" w:hAnsi="Times New Roman"/>
          <w:lang w:val="en-GB"/>
        </w:rPr>
        <w:t>discusses what</w:t>
      </w:r>
      <w:r w:rsidRPr="00563712">
        <w:rPr>
          <w:rFonts w:ascii="Times New Roman" w:hAnsi="Times New Roman"/>
          <w:lang w:val="en-GB"/>
        </w:rPr>
        <w:t xml:space="preserve"> empirical data tell us about political and social participation among low and highly skilled adults</w:t>
      </w:r>
      <w:r w:rsidR="00B13C5E" w:rsidRPr="00563712">
        <w:rPr>
          <w:rFonts w:ascii="Times New Roman" w:hAnsi="Times New Roman"/>
          <w:lang w:val="en-GB"/>
        </w:rPr>
        <w:t xml:space="preserve">. Thus it </w:t>
      </w:r>
      <w:r w:rsidR="00483B19" w:rsidRPr="00563712">
        <w:rPr>
          <w:rFonts w:ascii="Times New Roman" w:hAnsi="Times New Roman"/>
          <w:lang w:val="en-GB"/>
        </w:rPr>
        <w:t xml:space="preserve">fuels </w:t>
      </w:r>
      <w:r w:rsidR="00B13C5E" w:rsidRPr="00563712">
        <w:rPr>
          <w:rFonts w:ascii="Times New Roman" w:hAnsi="Times New Roman"/>
          <w:lang w:val="en-GB"/>
        </w:rPr>
        <w:t xml:space="preserve">the </w:t>
      </w:r>
      <w:r w:rsidR="00483B19" w:rsidRPr="00563712">
        <w:rPr>
          <w:rFonts w:ascii="Times New Roman" w:hAnsi="Times New Roman"/>
          <w:lang w:val="en-GB"/>
        </w:rPr>
        <w:t xml:space="preserve">discussion </w:t>
      </w:r>
      <w:r w:rsidR="00B13C5E" w:rsidRPr="00563712">
        <w:rPr>
          <w:rFonts w:ascii="Times New Roman" w:hAnsi="Times New Roman"/>
          <w:lang w:val="en-GB"/>
        </w:rPr>
        <w:t xml:space="preserve">whether </w:t>
      </w:r>
      <w:r w:rsidRPr="00563712">
        <w:rPr>
          <w:rFonts w:ascii="Times New Roman" w:hAnsi="Times New Roman"/>
          <w:lang w:val="en-GB"/>
        </w:rPr>
        <w:lastRenderedPageBreak/>
        <w:t xml:space="preserve">national strategies for literacy </w:t>
      </w:r>
      <w:r w:rsidR="00B13C5E" w:rsidRPr="00563712">
        <w:rPr>
          <w:rFonts w:ascii="Times New Roman" w:hAnsi="Times New Roman"/>
          <w:lang w:val="en-GB"/>
        </w:rPr>
        <w:t xml:space="preserve">should </w:t>
      </w:r>
      <w:r w:rsidRPr="00563712">
        <w:rPr>
          <w:rFonts w:ascii="Times New Roman" w:hAnsi="Times New Roman"/>
          <w:lang w:val="en-GB"/>
        </w:rPr>
        <w:t>have a broader approach, including both employability and citizenship as their aim, instead of prioritizing employment</w:t>
      </w:r>
      <w:r w:rsidR="00B13C5E" w:rsidRPr="00563712">
        <w:rPr>
          <w:rFonts w:ascii="Times New Roman" w:hAnsi="Times New Roman"/>
          <w:lang w:val="en-GB"/>
        </w:rPr>
        <w:t xml:space="preserve">. </w:t>
      </w:r>
    </w:p>
    <w:p w14:paraId="73495BDF" w14:textId="77777777" w:rsidR="00B616F1" w:rsidRPr="00563712" w:rsidRDefault="00B616F1" w:rsidP="005B3785">
      <w:pPr>
        <w:spacing w:after="0" w:line="480" w:lineRule="auto"/>
        <w:rPr>
          <w:rFonts w:ascii="Times New Roman" w:hAnsi="Times New Roman"/>
          <w:lang w:val="en-GB"/>
        </w:rPr>
      </w:pPr>
      <w:r w:rsidRPr="00563712">
        <w:rPr>
          <w:rFonts w:ascii="Times New Roman" w:hAnsi="Times New Roman"/>
          <w:lang w:val="en-GB"/>
        </w:rPr>
        <w:t xml:space="preserve">As the current databases do not offer variables on </w:t>
      </w:r>
      <w:r w:rsidRPr="00563712">
        <w:rPr>
          <w:rFonts w:ascii="Times New Roman" w:hAnsi="Times New Roman"/>
          <w:i/>
          <w:lang w:val="en-GB"/>
        </w:rPr>
        <w:t>literacy</w:t>
      </w:r>
      <w:r w:rsidRPr="00563712">
        <w:rPr>
          <w:rFonts w:ascii="Times New Roman" w:hAnsi="Times New Roman"/>
          <w:lang w:val="en-GB"/>
        </w:rPr>
        <w:t xml:space="preserve"> and </w:t>
      </w:r>
      <w:r w:rsidRPr="00563712">
        <w:rPr>
          <w:rFonts w:ascii="Times New Roman" w:hAnsi="Times New Roman"/>
          <w:i/>
          <w:lang w:val="en-GB"/>
        </w:rPr>
        <w:t>political participation</w:t>
      </w:r>
      <w:r w:rsidRPr="00563712">
        <w:rPr>
          <w:rFonts w:ascii="Times New Roman" w:hAnsi="Times New Roman"/>
          <w:lang w:val="en-GB"/>
        </w:rPr>
        <w:t xml:space="preserve">, this analysis will draw on variables about literacy and </w:t>
      </w:r>
      <w:r w:rsidRPr="00563712">
        <w:rPr>
          <w:rFonts w:ascii="Times New Roman" w:hAnsi="Times New Roman"/>
          <w:i/>
          <w:lang w:val="en-GB"/>
        </w:rPr>
        <w:t>political efficacy</w:t>
      </w:r>
      <w:r w:rsidRPr="00563712">
        <w:rPr>
          <w:rStyle w:val="Slutnotsreferens"/>
          <w:rFonts w:ascii="Times New Roman" w:hAnsi="Times New Roman"/>
          <w:lang w:val="en-GB"/>
        </w:rPr>
        <w:endnoteReference w:id="3"/>
      </w:r>
      <w:r w:rsidRPr="00563712">
        <w:rPr>
          <w:rFonts w:ascii="Times New Roman" w:hAnsi="Times New Roman"/>
          <w:lang w:val="en-GB"/>
        </w:rPr>
        <w:t xml:space="preserve"> from the current PIAAC survey (Rammstedt</w:t>
      </w:r>
      <w:r w:rsidR="007F14E7" w:rsidRPr="00563712">
        <w:rPr>
          <w:rFonts w:ascii="Times New Roman" w:hAnsi="Times New Roman"/>
          <w:lang w:val="en-GB"/>
        </w:rPr>
        <w:t>,</w:t>
      </w:r>
      <w:r w:rsidRPr="00563712">
        <w:rPr>
          <w:rFonts w:ascii="Times New Roman" w:hAnsi="Times New Roman"/>
          <w:lang w:val="en-GB"/>
        </w:rPr>
        <w:t xml:space="preserve"> 2013). Feelings of </w:t>
      </w:r>
      <w:r w:rsidRPr="00563712">
        <w:rPr>
          <w:rFonts w:ascii="Times New Roman" w:hAnsi="Times New Roman"/>
          <w:i/>
          <w:lang w:val="en-GB"/>
        </w:rPr>
        <w:t>political efficacy</w:t>
      </w:r>
      <w:r w:rsidRPr="00563712">
        <w:rPr>
          <w:rFonts w:ascii="Times New Roman" w:hAnsi="Times New Roman"/>
          <w:lang w:val="en-GB"/>
        </w:rPr>
        <w:t xml:space="preserve"> are not the same as real </w:t>
      </w:r>
      <w:r w:rsidRPr="00563712">
        <w:rPr>
          <w:rFonts w:ascii="Times New Roman" w:hAnsi="Times New Roman"/>
          <w:i/>
          <w:lang w:val="en-GB"/>
        </w:rPr>
        <w:t>political participation</w:t>
      </w:r>
      <w:r w:rsidRPr="00563712">
        <w:rPr>
          <w:rFonts w:ascii="Times New Roman" w:hAnsi="Times New Roman"/>
          <w:lang w:val="en-GB"/>
        </w:rPr>
        <w:t xml:space="preserve">, but they correlate (see below). Further indicators will be </w:t>
      </w:r>
      <w:r w:rsidRPr="00563712">
        <w:rPr>
          <w:rFonts w:ascii="Times New Roman" w:hAnsi="Times New Roman"/>
          <w:i/>
          <w:lang w:val="en-GB"/>
        </w:rPr>
        <w:t>social trust</w:t>
      </w:r>
      <w:r w:rsidRPr="00563712">
        <w:rPr>
          <w:rFonts w:ascii="Times New Roman" w:hAnsi="Times New Roman"/>
          <w:lang w:val="en-GB"/>
        </w:rPr>
        <w:t xml:space="preserve"> and </w:t>
      </w:r>
      <w:r w:rsidRPr="00563712">
        <w:rPr>
          <w:rFonts w:ascii="Times New Roman" w:hAnsi="Times New Roman"/>
          <w:i/>
          <w:lang w:val="en-GB"/>
        </w:rPr>
        <w:t>volunteering</w:t>
      </w:r>
      <w:r w:rsidRPr="00563712">
        <w:rPr>
          <w:rFonts w:ascii="Times New Roman" w:hAnsi="Times New Roman"/>
          <w:lang w:val="en-GB"/>
        </w:rPr>
        <w:t>.</w:t>
      </w:r>
    </w:p>
    <w:p w14:paraId="60565F50" w14:textId="77777777" w:rsidR="00B616F1" w:rsidRPr="00563712" w:rsidRDefault="00B616F1" w:rsidP="005B3785">
      <w:pPr>
        <w:spacing w:after="0" w:line="480" w:lineRule="auto"/>
        <w:rPr>
          <w:rFonts w:ascii="Times New Roman" w:hAnsi="Times New Roman"/>
          <w:lang w:val="en-GB"/>
        </w:rPr>
      </w:pPr>
      <w:r w:rsidRPr="00563712">
        <w:rPr>
          <w:rFonts w:ascii="Times New Roman" w:hAnsi="Times New Roman"/>
          <w:lang w:val="en-GB"/>
        </w:rPr>
        <w:t>Descrip</w:t>
      </w:r>
      <w:r w:rsidR="00337DDB" w:rsidRPr="00563712">
        <w:rPr>
          <w:rFonts w:ascii="Times New Roman" w:hAnsi="Times New Roman"/>
          <w:lang w:val="en-GB"/>
        </w:rPr>
        <w:t>tions of adults with low skills, detailed in four chapters</w:t>
      </w:r>
      <w:r w:rsidRPr="00563712">
        <w:rPr>
          <w:rFonts w:ascii="Times New Roman" w:hAnsi="Times New Roman"/>
          <w:lang w:val="en-GB"/>
        </w:rPr>
        <w:t xml:space="preserve"> </w:t>
      </w:r>
      <w:r w:rsidR="00337DDB" w:rsidRPr="00563712">
        <w:rPr>
          <w:rFonts w:ascii="Times New Roman" w:hAnsi="Times New Roman"/>
          <w:lang w:val="en-GB"/>
        </w:rPr>
        <w:t>(</w:t>
      </w:r>
      <w:r w:rsidRPr="00563712">
        <w:rPr>
          <w:rFonts w:ascii="Times New Roman" w:hAnsi="Times New Roman"/>
          <w:lang w:val="en-GB"/>
        </w:rPr>
        <w:t>work and family, reading skills, literacy practices and participation in adult education</w:t>
      </w:r>
      <w:r w:rsidR="00337DDB" w:rsidRPr="00563712">
        <w:rPr>
          <w:rFonts w:ascii="Times New Roman" w:hAnsi="Times New Roman"/>
          <w:lang w:val="en-GB"/>
        </w:rPr>
        <w:t>)</w:t>
      </w:r>
      <w:r w:rsidRPr="00563712">
        <w:rPr>
          <w:rFonts w:ascii="Times New Roman" w:hAnsi="Times New Roman"/>
          <w:lang w:val="en-GB"/>
        </w:rPr>
        <w:t xml:space="preserve"> have recently been published</w:t>
      </w:r>
      <w:r w:rsidR="00337DDB" w:rsidRPr="00563712">
        <w:rPr>
          <w:rFonts w:ascii="Times New Roman" w:hAnsi="Times New Roman"/>
          <w:lang w:val="en-GB"/>
        </w:rPr>
        <w:t xml:space="preserve"> by the OECD</w:t>
      </w:r>
      <w:r w:rsidRPr="00563712">
        <w:rPr>
          <w:rFonts w:ascii="Times New Roman" w:hAnsi="Times New Roman"/>
          <w:lang w:val="en-GB"/>
        </w:rPr>
        <w:t xml:space="preserve"> (</w:t>
      </w:r>
      <w:r w:rsidR="00102D0D" w:rsidRPr="00563712">
        <w:rPr>
          <w:rFonts w:ascii="Times New Roman" w:hAnsi="Times New Roman"/>
          <w:lang w:val="en-GB"/>
        </w:rPr>
        <w:t>deleted for anonymity</w:t>
      </w:r>
      <w:r w:rsidRPr="00563712">
        <w:rPr>
          <w:rFonts w:ascii="Times New Roman" w:hAnsi="Times New Roman"/>
          <w:lang w:val="en-GB"/>
        </w:rPr>
        <w:t xml:space="preserve">). This article complements these recently published chapters by focusing on </w:t>
      </w:r>
      <w:r w:rsidR="00337DDB" w:rsidRPr="00563712">
        <w:rPr>
          <w:rFonts w:ascii="Times New Roman" w:hAnsi="Times New Roman"/>
          <w:lang w:val="en-GB"/>
        </w:rPr>
        <w:t>the three variables “</w:t>
      </w:r>
      <w:r w:rsidRPr="00563712">
        <w:rPr>
          <w:rFonts w:ascii="Times New Roman" w:hAnsi="Times New Roman"/>
          <w:i/>
          <w:lang w:val="en-GB"/>
        </w:rPr>
        <w:t>political efficacy</w:t>
      </w:r>
      <w:r w:rsidR="00337DDB" w:rsidRPr="00563712">
        <w:rPr>
          <w:rFonts w:ascii="Times New Roman" w:hAnsi="Times New Roman"/>
          <w:i/>
          <w:lang w:val="en-GB"/>
        </w:rPr>
        <w:t>”</w:t>
      </w:r>
      <w:r w:rsidRPr="00563712">
        <w:rPr>
          <w:rFonts w:ascii="Times New Roman" w:hAnsi="Times New Roman"/>
          <w:lang w:val="en-GB"/>
        </w:rPr>
        <w:t xml:space="preserve">, </w:t>
      </w:r>
      <w:r w:rsidR="00337DDB" w:rsidRPr="00563712">
        <w:rPr>
          <w:rFonts w:ascii="Times New Roman" w:hAnsi="Times New Roman"/>
          <w:lang w:val="en-GB"/>
        </w:rPr>
        <w:t>“</w:t>
      </w:r>
      <w:r w:rsidRPr="00563712">
        <w:rPr>
          <w:rFonts w:ascii="Times New Roman" w:hAnsi="Times New Roman"/>
          <w:i/>
          <w:lang w:val="en-GB"/>
        </w:rPr>
        <w:t>social trust</w:t>
      </w:r>
      <w:r w:rsidR="00337DDB" w:rsidRPr="00563712">
        <w:rPr>
          <w:rFonts w:ascii="Times New Roman" w:hAnsi="Times New Roman"/>
          <w:i/>
          <w:lang w:val="en-GB"/>
        </w:rPr>
        <w:t>”</w:t>
      </w:r>
      <w:r w:rsidRPr="00563712">
        <w:rPr>
          <w:rFonts w:ascii="Times New Roman" w:hAnsi="Times New Roman"/>
          <w:lang w:val="en-GB"/>
        </w:rPr>
        <w:t xml:space="preserve"> and </w:t>
      </w:r>
      <w:r w:rsidR="00337DDB" w:rsidRPr="00563712">
        <w:rPr>
          <w:rFonts w:ascii="Times New Roman" w:hAnsi="Times New Roman"/>
          <w:lang w:val="en-GB"/>
        </w:rPr>
        <w:t>“</w:t>
      </w:r>
      <w:r w:rsidRPr="00563712">
        <w:rPr>
          <w:rFonts w:ascii="Times New Roman" w:hAnsi="Times New Roman"/>
          <w:i/>
          <w:lang w:val="en-GB"/>
        </w:rPr>
        <w:t>volunteering</w:t>
      </w:r>
      <w:r w:rsidR="00337DDB" w:rsidRPr="00563712">
        <w:rPr>
          <w:rFonts w:ascii="Times New Roman" w:hAnsi="Times New Roman"/>
          <w:i/>
          <w:lang w:val="en-GB"/>
        </w:rPr>
        <w:t>”</w:t>
      </w:r>
      <w:r w:rsidRPr="00563712">
        <w:rPr>
          <w:rFonts w:ascii="Times New Roman" w:hAnsi="Times New Roman"/>
          <w:lang w:val="en-GB"/>
        </w:rPr>
        <w:t xml:space="preserve"> and by comparing low-literate adults with high-literate adults across the countries participating in PIAAC. </w:t>
      </w:r>
      <w:r w:rsidR="00337DDB" w:rsidRPr="00563712">
        <w:rPr>
          <w:rFonts w:ascii="Times New Roman" w:hAnsi="Times New Roman"/>
          <w:lang w:val="en-GB"/>
        </w:rPr>
        <w:t xml:space="preserve">The statistical method followed the above mentioned publications’ scheme. The literacy scale has been divided into </w:t>
      </w:r>
      <w:r w:rsidR="00337DDB" w:rsidRPr="00563712">
        <w:rPr>
          <w:rFonts w:ascii="Times New Roman" w:hAnsi="Times New Roman"/>
          <w:i/>
          <w:lang w:val="en-GB"/>
        </w:rPr>
        <w:t>low</w:t>
      </w:r>
      <w:r w:rsidR="00337DDB" w:rsidRPr="00563712">
        <w:rPr>
          <w:rFonts w:ascii="Times New Roman" w:hAnsi="Times New Roman"/>
          <w:lang w:val="en-GB"/>
        </w:rPr>
        <w:t xml:space="preserve"> literacy</w:t>
      </w:r>
      <w:r w:rsidR="000D184E" w:rsidRPr="00563712">
        <w:rPr>
          <w:rFonts w:ascii="Times New Roman" w:hAnsi="Times New Roman"/>
          <w:lang w:val="en-GB"/>
        </w:rPr>
        <w:t xml:space="preserve"> competence, </w:t>
      </w:r>
      <w:r w:rsidR="00337DDB" w:rsidRPr="00563712">
        <w:rPr>
          <w:rFonts w:ascii="Times New Roman" w:hAnsi="Times New Roman"/>
          <w:lang w:val="en-GB"/>
        </w:rPr>
        <w:t>defined here as ‘below 225 points on the PIAAC scale’, which equals PIAAC level one and below</w:t>
      </w:r>
      <w:r w:rsidR="000D184E" w:rsidRPr="00563712">
        <w:rPr>
          <w:rFonts w:ascii="Times New Roman" w:hAnsi="Times New Roman"/>
          <w:lang w:val="en-GB"/>
        </w:rPr>
        <w:t xml:space="preserve"> - </w:t>
      </w:r>
      <w:r w:rsidR="00337DDB" w:rsidRPr="00563712">
        <w:rPr>
          <w:rFonts w:ascii="Times New Roman" w:hAnsi="Times New Roman"/>
          <w:lang w:val="en-GB"/>
        </w:rPr>
        <w:t xml:space="preserve">and </w:t>
      </w:r>
      <w:r w:rsidR="00337DDB" w:rsidRPr="00563712">
        <w:rPr>
          <w:rFonts w:ascii="Times New Roman" w:hAnsi="Times New Roman"/>
          <w:i/>
          <w:lang w:val="en-GB"/>
        </w:rPr>
        <w:t>high</w:t>
      </w:r>
      <w:r w:rsidR="00337DDB" w:rsidRPr="00563712">
        <w:rPr>
          <w:rFonts w:ascii="Times New Roman" w:hAnsi="Times New Roman"/>
          <w:lang w:val="en-GB"/>
        </w:rPr>
        <w:t xml:space="preserve"> </w:t>
      </w:r>
      <w:r w:rsidR="000D184E" w:rsidRPr="00563712">
        <w:rPr>
          <w:rFonts w:ascii="Times New Roman" w:hAnsi="Times New Roman"/>
          <w:lang w:val="en-GB"/>
        </w:rPr>
        <w:t>literacy competence, defined as ‘</w:t>
      </w:r>
      <w:r w:rsidR="006064EC" w:rsidRPr="00563712">
        <w:rPr>
          <w:rFonts w:ascii="Times New Roman" w:hAnsi="Times New Roman"/>
          <w:lang w:val="en-GB"/>
        </w:rPr>
        <w:t>above 37</w:t>
      </w:r>
      <w:r w:rsidR="00337DDB" w:rsidRPr="00563712">
        <w:rPr>
          <w:rFonts w:ascii="Times New Roman" w:hAnsi="Times New Roman"/>
          <w:lang w:val="en-GB"/>
        </w:rPr>
        <w:t>5 points on the PIAAC scale</w:t>
      </w:r>
      <w:r w:rsidR="000D184E" w:rsidRPr="00563712">
        <w:rPr>
          <w:rFonts w:ascii="Times New Roman" w:hAnsi="Times New Roman"/>
          <w:lang w:val="en-GB"/>
        </w:rPr>
        <w:t>’</w:t>
      </w:r>
      <w:r w:rsidR="00337DDB" w:rsidRPr="00563712">
        <w:rPr>
          <w:rFonts w:ascii="Times New Roman" w:hAnsi="Times New Roman"/>
          <w:lang w:val="en-GB"/>
        </w:rPr>
        <w:t xml:space="preserve">, which equals PIAAC level four and above. The </w:t>
      </w:r>
      <w:r w:rsidR="000D184E" w:rsidRPr="00563712">
        <w:rPr>
          <w:rFonts w:ascii="Times New Roman" w:hAnsi="Times New Roman"/>
          <w:lang w:val="en-GB"/>
        </w:rPr>
        <w:t xml:space="preserve">first round </w:t>
      </w:r>
      <w:r w:rsidR="00337DDB" w:rsidRPr="00563712">
        <w:rPr>
          <w:rFonts w:ascii="Times New Roman" w:hAnsi="Times New Roman"/>
          <w:lang w:val="en-GB"/>
        </w:rPr>
        <w:t>data have been used (all countries’ datasets</w:t>
      </w:r>
      <w:r w:rsidR="000D184E" w:rsidRPr="00563712">
        <w:rPr>
          <w:rFonts w:ascii="Times New Roman" w:hAnsi="Times New Roman"/>
          <w:lang w:val="en-GB"/>
        </w:rPr>
        <w:t>, data collection from 2012</w:t>
      </w:r>
      <w:r w:rsidR="00337DDB" w:rsidRPr="00563712">
        <w:rPr>
          <w:rFonts w:ascii="Times New Roman" w:hAnsi="Times New Roman"/>
          <w:lang w:val="en-GB"/>
        </w:rPr>
        <w:t xml:space="preserve">) with the </w:t>
      </w:r>
      <w:r w:rsidR="000D184E" w:rsidRPr="00563712">
        <w:rPr>
          <w:rFonts w:ascii="Times New Roman" w:hAnsi="Times New Roman"/>
          <w:lang w:val="en-GB"/>
        </w:rPr>
        <w:t>statistical software ‘</w:t>
      </w:r>
      <w:r w:rsidR="00337DDB" w:rsidRPr="00563712">
        <w:rPr>
          <w:rFonts w:ascii="Times New Roman" w:hAnsi="Times New Roman"/>
          <w:lang w:val="en-GB"/>
        </w:rPr>
        <w:t>Stata</w:t>
      </w:r>
      <w:r w:rsidR="000D184E" w:rsidRPr="00563712">
        <w:rPr>
          <w:rFonts w:ascii="Times New Roman" w:hAnsi="Times New Roman"/>
          <w:lang w:val="en-GB"/>
        </w:rPr>
        <w:t>’</w:t>
      </w:r>
      <w:r w:rsidR="00337DDB" w:rsidRPr="00563712">
        <w:rPr>
          <w:rFonts w:ascii="Times New Roman" w:hAnsi="Times New Roman"/>
          <w:lang w:val="en-GB"/>
        </w:rPr>
        <w:t xml:space="preserve"> </w:t>
      </w:r>
      <w:r w:rsidR="000D184E" w:rsidRPr="00563712">
        <w:rPr>
          <w:rFonts w:ascii="Times New Roman" w:hAnsi="Times New Roman"/>
          <w:lang w:val="en-GB"/>
        </w:rPr>
        <w:t xml:space="preserve">and </w:t>
      </w:r>
      <w:r w:rsidR="00337DDB" w:rsidRPr="00563712">
        <w:rPr>
          <w:rFonts w:ascii="Times New Roman" w:hAnsi="Times New Roman"/>
          <w:lang w:val="en-GB"/>
        </w:rPr>
        <w:t xml:space="preserve">the “PIAAC repest module” co-developed by Francois Keslair from OECD. This module allows for fully taking into consideration all </w:t>
      </w:r>
      <w:r w:rsidR="0031460E" w:rsidRPr="00563712">
        <w:rPr>
          <w:rFonts w:ascii="Times New Roman" w:hAnsi="Times New Roman"/>
          <w:lang w:val="en-GB"/>
        </w:rPr>
        <w:t xml:space="preserve">ten </w:t>
      </w:r>
      <w:r w:rsidR="00337DDB" w:rsidRPr="00563712">
        <w:rPr>
          <w:rFonts w:ascii="Times New Roman" w:hAnsi="Times New Roman"/>
          <w:lang w:val="en-GB"/>
        </w:rPr>
        <w:t xml:space="preserve">plausible values </w:t>
      </w:r>
      <w:r w:rsidR="0031460E" w:rsidRPr="00563712">
        <w:rPr>
          <w:rFonts w:ascii="Times New Roman" w:hAnsi="Times New Roman"/>
          <w:lang w:val="en-GB"/>
        </w:rPr>
        <w:t xml:space="preserve">for the literacy variable </w:t>
      </w:r>
      <w:r w:rsidR="00337DDB" w:rsidRPr="00563712">
        <w:rPr>
          <w:rFonts w:ascii="Times New Roman" w:hAnsi="Times New Roman"/>
          <w:lang w:val="en-GB"/>
        </w:rPr>
        <w:t>as well as the sample weights.</w:t>
      </w:r>
      <w:r w:rsidR="0031460E" w:rsidRPr="00563712">
        <w:rPr>
          <w:rFonts w:ascii="Times New Roman" w:hAnsi="Times New Roman"/>
          <w:lang w:val="en-GB"/>
        </w:rPr>
        <w:t xml:space="preserve"> </w:t>
      </w:r>
    </w:p>
    <w:p w14:paraId="6C937014" w14:textId="77777777" w:rsidR="00BC63AA" w:rsidRPr="00563712" w:rsidRDefault="0031460E" w:rsidP="005B3785">
      <w:pPr>
        <w:spacing w:after="0" w:line="480" w:lineRule="auto"/>
        <w:rPr>
          <w:rFonts w:ascii="Times New Roman" w:hAnsi="Times New Roman"/>
          <w:lang w:val="en-GB"/>
        </w:rPr>
      </w:pPr>
      <w:r w:rsidRPr="00563712">
        <w:rPr>
          <w:rFonts w:ascii="Times New Roman" w:hAnsi="Times New Roman"/>
          <w:lang w:val="en-GB"/>
        </w:rPr>
        <w:t xml:space="preserve">Crosstabulations have been calculated between </w:t>
      </w:r>
      <w:r w:rsidRPr="00563712">
        <w:rPr>
          <w:rFonts w:ascii="Times New Roman" w:hAnsi="Times New Roman"/>
          <w:i/>
          <w:lang w:val="en-GB"/>
        </w:rPr>
        <w:t>literacy levels</w:t>
      </w:r>
      <w:r w:rsidRPr="00563712">
        <w:rPr>
          <w:rFonts w:ascii="Times New Roman" w:hAnsi="Times New Roman"/>
          <w:lang w:val="en-GB"/>
        </w:rPr>
        <w:t xml:space="preserve"> and the three variables </w:t>
      </w:r>
      <w:r w:rsidRPr="00563712">
        <w:rPr>
          <w:rFonts w:ascii="Times New Roman" w:hAnsi="Times New Roman"/>
          <w:i/>
          <w:lang w:val="en-GB"/>
        </w:rPr>
        <w:t>political efficacy</w:t>
      </w:r>
      <w:r w:rsidRPr="00563712">
        <w:rPr>
          <w:rFonts w:ascii="Times New Roman" w:hAnsi="Times New Roman"/>
          <w:lang w:val="en-GB"/>
        </w:rPr>
        <w:t xml:space="preserve">, </w:t>
      </w:r>
      <w:r w:rsidRPr="00563712">
        <w:rPr>
          <w:rFonts w:ascii="Times New Roman" w:hAnsi="Times New Roman"/>
          <w:i/>
          <w:lang w:val="en-GB"/>
        </w:rPr>
        <w:t>social trust</w:t>
      </w:r>
      <w:r w:rsidRPr="00563712">
        <w:rPr>
          <w:rFonts w:ascii="Times New Roman" w:hAnsi="Times New Roman"/>
          <w:lang w:val="en-GB"/>
        </w:rPr>
        <w:t xml:space="preserve"> and </w:t>
      </w:r>
      <w:r w:rsidRPr="00563712">
        <w:rPr>
          <w:rFonts w:ascii="Times New Roman" w:hAnsi="Times New Roman"/>
          <w:i/>
          <w:lang w:val="en-GB"/>
        </w:rPr>
        <w:t>volunteering</w:t>
      </w:r>
      <w:r w:rsidRPr="00563712">
        <w:rPr>
          <w:rFonts w:ascii="Times New Roman" w:hAnsi="Times New Roman"/>
          <w:lang w:val="en-GB"/>
        </w:rPr>
        <w:t xml:space="preserve">. Low literate and high literate subgroups then are compared and compiled into a graph showing results on international level. The significance is expressed by standard errors. </w:t>
      </w:r>
      <w:r w:rsidR="001348A2" w:rsidRPr="00563712">
        <w:rPr>
          <w:rFonts w:ascii="Times New Roman" w:hAnsi="Times New Roman"/>
          <w:lang w:val="en-GB"/>
        </w:rPr>
        <w:t xml:space="preserve">While the </w:t>
      </w:r>
      <w:r w:rsidR="001348A2" w:rsidRPr="00563712">
        <w:rPr>
          <w:rFonts w:ascii="Times New Roman" w:hAnsi="Times New Roman"/>
          <w:i/>
          <w:lang w:val="en-GB"/>
        </w:rPr>
        <w:t>graphs</w:t>
      </w:r>
      <w:r w:rsidR="001348A2" w:rsidRPr="00563712">
        <w:rPr>
          <w:rFonts w:ascii="Times New Roman" w:hAnsi="Times New Roman"/>
          <w:lang w:val="en-GB"/>
        </w:rPr>
        <w:t xml:space="preserve"> show all results, t</w:t>
      </w:r>
      <w:r w:rsidRPr="00563712">
        <w:rPr>
          <w:rFonts w:ascii="Times New Roman" w:hAnsi="Times New Roman"/>
          <w:lang w:val="en-GB"/>
        </w:rPr>
        <w:t xml:space="preserve">he </w:t>
      </w:r>
      <w:r w:rsidRPr="00563712">
        <w:rPr>
          <w:rFonts w:ascii="Times New Roman" w:hAnsi="Times New Roman"/>
          <w:i/>
          <w:lang w:val="en-GB"/>
        </w:rPr>
        <w:t>interpretation</w:t>
      </w:r>
      <w:r w:rsidRPr="00563712">
        <w:rPr>
          <w:rFonts w:ascii="Times New Roman" w:hAnsi="Times New Roman"/>
          <w:lang w:val="en-GB"/>
        </w:rPr>
        <w:t xml:space="preserve"> of results </w:t>
      </w:r>
      <w:r w:rsidR="00082A97" w:rsidRPr="00563712">
        <w:rPr>
          <w:rFonts w:ascii="Times New Roman" w:hAnsi="Times New Roman"/>
          <w:lang w:val="en-GB"/>
        </w:rPr>
        <w:t xml:space="preserve">in this article </w:t>
      </w:r>
      <w:r w:rsidRPr="00563712">
        <w:rPr>
          <w:rFonts w:ascii="Times New Roman" w:hAnsi="Times New Roman"/>
          <w:lang w:val="en-GB"/>
        </w:rPr>
        <w:t xml:space="preserve">only refers to statistically significant differences. </w:t>
      </w:r>
      <w:r w:rsidR="00A70E69" w:rsidRPr="00563712">
        <w:rPr>
          <w:rFonts w:ascii="Times New Roman" w:hAnsi="Times New Roman"/>
          <w:lang w:val="en-GB"/>
        </w:rPr>
        <w:t>Because of the large sample</w:t>
      </w:r>
      <w:r w:rsidRPr="00563712">
        <w:rPr>
          <w:rFonts w:ascii="Times New Roman" w:hAnsi="Times New Roman"/>
          <w:lang w:val="en-GB"/>
        </w:rPr>
        <w:t xml:space="preserve"> </w:t>
      </w:r>
      <w:r w:rsidRPr="00563712">
        <w:rPr>
          <w:rFonts w:ascii="Times New Roman" w:hAnsi="Times New Roman"/>
          <w:lang w:val="en-GB"/>
        </w:rPr>
        <w:lastRenderedPageBreak/>
        <w:t>even small differences of a few percent points are significant in PIAAC.</w:t>
      </w:r>
      <w:r w:rsidR="00082A97" w:rsidRPr="00563712">
        <w:rPr>
          <w:rFonts w:ascii="Times New Roman" w:hAnsi="Times New Roman"/>
          <w:lang w:val="en-GB"/>
        </w:rPr>
        <w:t xml:space="preserve"> Controlling for </w:t>
      </w:r>
      <w:r w:rsidR="001348A2" w:rsidRPr="00563712">
        <w:rPr>
          <w:rFonts w:ascii="Times New Roman" w:hAnsi="Times New Roman"/>
          <w:lang w:val="en-GB"/>
        </w:rPr>
        <w:t xml:space="preserve">sociodemographics and performance variables like education and employment would definitely reduce the correlation </w:t>
      </w:r>
      <w:r w:rsidR="00BC63AA" w:rsidRPr="00563712">
        <w:rPr>
          <w:rFonts w:ascii="Times New Roman" w:hAnsi="Times New Roman"/>
          <w:lang w:val="en-GB"/>
        </w:rPr>
        <w:t xml:space="preserve">and show how strong the </w:t>
      </w:r>
      <w:r w:rsidR="00BC63AA" w:rsidRPr="00563712">
        <w:rPr>
          <w:rFonts w:ascii="Times New Roman" w:hAnsi="Times New Roman"/>
          <w:i/>
          <w:lang w:val="en-GB"/>
        </w:rPr>
        <w:t>influence</w:t>
      </w:r>
      <w:r w:rsidR="00BC63AA" w:rsidRPr="00563712">
        <w:rPr>
          <w:rFonts w:ascii="Times New Roman" w:hAnsi="Times New Roman"/>
          <w:lang w:val="en-GB"/>
        </w:rPr>
        <w:t xml:space="preserve"> of </w:t>
      </w:r>
      <w:r w:rsidR="00BC63AA" w:rsidRPr="00563712">
        <w:rPr>
          <w:rFonts w:ascii="Times New Roman" w:hAnsi="Times New Roman"/>
          <w:i/>
          <w:lang w:val="en-GB"/>
        </w:rPr>
        <w:t>literacy</w:t>
      </w:r>
      <w:r w:rsidR="00BC63AA" w:rsidRPr="00563712">
        <w:rPr>
          <w:rFonts w:ascii="Times New Roman" w:hAnsi="Times New Roman"/>
          <w:lang w:val="en-GB"/>
        </w:rPr>
        <w:t xml:space="preserve"> is onto </w:t>
      </w:r>
      <w:r w:rsidR="00BC63AA" w:rsidRPr="00563712">
        <w:rPr>
          <w:rFonts w:ascii="Times New Roman" w:hAnsi="Times New Roman"/>
          <w:i/>
          <w:lang w:val="en-GB"/>
        </w:rPr>
        <w:t xml:space="preserve">political efficacy, social trust </w:t>
      </w:r>
      <w:r w:rsidR="00BC63AA" w:rsidRPr="00563712">
        <w:rPr>
          <w:rFonts w:ascii="Times New Roman" w:hAnsi="Times New Roman"/>
          <w:lang w:val="en-GB"/>
        </w:rPr>
        <w:t>or</w:t>
      </w:r>
      <w:r w:rsidR="00BC63AA" w:rsidRPr="00563712">
        <w:rPr>
          <w:rFonts w:ascii="Times New Roman" w:hAnsi="Times New Roman"/>
          <w:i/>
          <w:lang w:val="en-GB"/>
        </w:rPr>
        <w:t xml:space="preserve"> volunteering</w:t>
      </w:r>
      <w:r w:rsidR="00BC63AA" w:rsidRPr="00563712">
        <w:rPr>
          <w:rFonts w:ascii="Times New Roman" w:hAnsi="Times New Roman"/>
          <w:lang w:val="en-GB"/>
        </w:rPr>
        <w:t xml:space="preserve"> - if the influences of education and others are kept aside (which would be a </w:t>
      </w:r>
      <w:r w:rsidR="00BC63AA" w:rsidRPr="00563712">
        <w:rPr>
          <w:rFonts w:ascii="Times New Roman" w:hAnsi="Times New Roman"/>
          <w:i/>
          <w:lang w:val="en-GB"/>
        </w:rPr>
        <w:t>causal relation</w:t>
      </w:r>
      <w:r w:rsidR="00BC63AA" w:rsidRPr="00563712">
        <w:rPr>
          <w:rFonts w:ascii="Times New Roman" w:hAnsi="Times New Roman"/>
          <w:lang w:val="en-GB"/>
        </w:rPr>
        <w:t xml:space="preserve"> that would require strong theoretical background – and which obviously is too linear to meet the reality). </w:t>
      </w:r>
    </w:p>
    <w:p w14:paraId="6F3F9E4F" w14:textId="77777777" w:rsidR="0085253E" w:rsidRPr="00563712" w:rsidRDefault="00BC63AA" w:rsidP="005B3785">
      <w:pPr>
        <w:spacing w:after="0" w:line="480" w:lineRule="auto"/>
        <w:rPr>
          <w:rFonts w:ascii="Times New Roman" w:hAnsi="Times New Roman"/>
          <w:lang w:val="en-GB"/>
        </w:rPr>
      </w:pPr>
      <w:r w:rsidRPr="00563712">
        <w:rPr>
          <w:rFonts w:ascii="Times New Roman" w:hAnsi="Times New Roman"/>
          <w:lang w:val="en-GB"/>
        </w:rPr>
        <w:t xml:space="preserve">But this is not the research question here – the question is to describe the </w:t>
      </w:r>
      <w:r w:rsidRPr="00563712">
        <w:rPr>
          <w:rFonts w:ascii="Times New Roman" w:hAnsi="Times New Roman"/>
          <w:i/>
          <w:lang w:val="en-GB"/>
        </w:rPr>
        <w:t>low-literate population</w:t>
      </w:r>
      <w:r w:rsidRPr="00563712">
        <w:rPr>
          <w:rFonts w:ascii="Times New Roman" w:hAnsi="Times New Roman"/>
          <w:lang w:val="en-GB"/>
        </w:rPr>
        <w:t xml:space="preserve"> in contrast to high-literate adults with literacy being a result of formal education as well as literacy practices and many other factors. </w:t>
      </w:r>
    </w:p>
    <w:p w14:paraId="76A91E07" w14:textId="77777777" w:rsidR="0031460E" w:rsidRPr="00563712" w:rsidRDefault="001348A2" w:rsidP="005B3785">
      <w:pPr>
        <w:spacing w:after="0" w:line="480" w:lineRule="auto"/>
        <w:rPr>
          <w:rFonts w:ascii="Times New Roman" w:hAnsi="Times New Roman"/>
          <w:lang w:val="en-GB"/>
        </w:rPr>
      </w:pPr>
      <w:r w:rsidRPr="00563712">
        <w:rPr>
          <w:rFonts w:ascii="Times New Roman" w:hAnsi="Times New Roman"/>
          <w:lang w:val="en-GB"/>
        </w:rPr>
        <w:t xml:space="preserve">The reason to crosstabulate </w:t>
      </w:r>
      <w:r w:rsidRPr="00563712">
        <w:rPr>
          <w:rFonts w:ascii="Times New Roman" w:hAnsi="Times New Roman"/>
          <w:i/>
          <w:lang w:val="en-GB"/>
        </w:rPr>
        <w:t>literacy</w:t>
      </w:r>
      <w:r w:rsidRPr="00563712">
        <w:rPr>
          <w:rFonts w:ascii="Times New Roman" w:hAnsi="Times New Roman"/>
          <w:lang w:val="en-GB"/>
        </w:rPr>
        <w:t xml:space="preserve"> instead of </w:t>
      </w:r>
      <w:r w:rsidRPr="00563712">
        <w:rPr>
          <w:rFonts w:ascii="Times New Roman" w:hAnsi="Times New Roman"/>
          <w:i/>
          <w:lang w:val="en-GB"/>
        </w:rPr>
        <w:t>formal education</w:t>
      </w:r>
      <w:r w:rsidRPr="00563712">
        <w:rPr>
          <w:rFonts w:ascii="Times New Roman" w:hAnsi="Times New Roman"/>
          <w:lang w:val="en-GB"/>
        </w:rPr>
        <w:t xml:space="preserve"> (as it is reported in regular surveys on volunteering and youth, see below) is that the current political attention focuses low-literate adults and not low formally educated adults. Thus it makes sense to use the literacy variable even if it has a high correlation with education.</w:t>
      </w:r>
      <w:r w:rsidR="0085253E" w:rsidRPr="00563712">
        <w:rPr>
          <w:rFonts w:ascii="Times New Roman" w:hAnsi="Times New Roman"/>
          <w:lang w:val="en-GB"/>
        </w:rPr>
        <w:t xml:space="preserve"> </w:t>
      </w:r>
    </w:p>
    <w:p w14:paraId="50F1F0F2" w14:textId="77777777" w:rsidR="0085253E" w:rsidRPr="00563712" w:rsidRDefault="0085253E" w:rsidP="005B3785">
      <w:pPr>
        <w:spacing w:after="0" w:line="480" w:lineRule="auto"/>
        <w:rPr>
          <w:rFonts w:ascii="Times New Roman" w:hAnsi="Times New Roman"/>
          <w:lang w:val="en-GB"/>
        </w:rPr>
      </w:pPr>
    </w:p>
    <w:p w14:paraId="6CB55E3C" w14:textId="77777777" w:rsidR="00082A97" w:rsidRPr="00563712" w:rsidRDefault="0085253E" w:rsidP="005B3785">
      <w:pPr>
        <w:spacing w:after="0" w:line="480" w:lineRule="auto"/>
        <w:rPr>
          <w:rFonts w:ascii="Times New Roman" w:hAnsi="Times New Roman"/>
          <w:lang w:val="en-GB"/>
        </w:rPr>
      </w:pPr>
      <w:r w:rsidRPr="00563712">
        <w:rPr>
          <w:rFonts w:ascii="Times New Roman" w:hAnsi="Times New Roman"/>
          <w:lang w:val="en-GB"/>
        </w:rPr>
        <w:t xml:space="preserve">It was decided </w:t>
      </w:r>
      <w:r w:rsidR="00082A97" w:rsidRPr="00563712">
        <w:rPr>
          <w:rFonts w:ascii="Times New Roman" w:hAnsi="Times New Roman"/>
          <w:lang w:val="en-GB"/>
        </w:rPr>
        <w:t xml:space="preserve">to fully report all countries’ results in the graphs but focus on three special countries in the interpretation. The reason is twofold. On the one hand, an interpretation needs sound knowledge about the political system and its recent development which would take much longer discussion and explanation than is provided here. On the other hand, the three countries in focus experienced shifts to the right wing in their political landscape shortly after </w:t>
      </w:r>
      <w:r w:rsidRPr="00563712">
        <w:rPr>
          <w:rFonts w:ascii="Times New Roman" w:hAnsi="Times New Roman"/>
          <w:lang w:val="en-GB"/>
        </w:rPr>
        <w:t xml:space="preserve">the PIAAC </w:t>
      </w:r>
      <w:r w:rsidR="00082A97" w:rsidRPr="00563712">
        <w:rPr>
          <w:rFonts w:ascii="Times New Roman" w:hAnsi="Times New Roman"/>
          <w:lang w:val="en-GB"/>
        </w:rPr>
        <w:t xml:space="preserve">data collection and </w:t>
      </w:r>
      <w:r w:rsidRPr="00563712">
        <w:rPr>
          <w:rFonts w:ascii="Times New Roman" w:hAnsi="Times New Roman"/>
          <w:lang w:val="en-GB"/>
        </w:rPr>
        <w:t xml:space="preserve">the shifts were </w:t>
      </w:r>
      <w:r w:rsidR="00082A97" w:rsidRPr="00563712">
        <w:rPr>
          <w:rFonts w:ascii="Times New Roman" w:hAnsi="Times New Roman"/>
          <w:lang w:val="en-GB"/>
        </w:rPr>
        <w:t xml:space="preserve">discussed in mass media with high concern. Meanwhile, many other countries face the same problem (or always had before). But </w:t>
      </w:r>
      <w:r w:rsidRPr="00563712">
        <w:rPr>
          <w:rFonts w:ascii="Times New Roman" w:hAnsi="Times New Roman"/>
          <w:lang w:val="en-GB"/>
        </w:rPr>
        <w:t xml:space="preserve">this </w:t>
      </w:r>
      <w:r w:rsidR="00082A97" w:rsidRPr="00563712">
        <w:rPr>
          <w:rFonts w:ascii="Times New Roman" w:hAnsi="Times New Roman"/>
          <w:lang w:val="en-GB"/>
        </w:rPr>
        <w:t xml:space="preserve">was </w:t>
      </w:r>
      <w:r w:rsidRPr="00563712">
        <w:rPr>
          <w:rFonts w:ascii="Times New Roman" w:hAnsi="Times New Roman"/>
          <w:lang w:val="en-GB"/>
        </w:rPr>
        <w:t xml:space="preserve">not yet clear </w:t>
      </w:r>
      <w:r w:rsidR="00082A97" w:rsidRPr="00563712">
        <w:rPr>
          <w:rFonts w:ascii="Times New Roman" w:hAnsi="Times New Roman"/>
          <w:lang w:val="en-GB"/>
        </w:rPr>
        <w:t>when this article was computed</w:t>
      </w:r>
      <w:r w:rsidRPr="00563712">
        <w:rPr>
          <w:rFonts w:ascii="Times New Roman" w:hAnsi="Times New Roman"/>
          <w:lang w:val="en-GB"/>
        </w:rPr>
        <w:t xml:space="preserve"> and the shifts </w:t>
      </w:r>
      <w:r w:rsidR="00F12B13" w:rsidRPr="00563712">
        <w:rPr>
          <w:rFonts w:ascii="Times New Roman" w:hAnsi="Times New Roman"/>
          <w:lang w:val="en-GB"/>
        </w:rPr>
        <w:t xml:space="preserve">now take with more and more distance to the year of </w:t>
      </w:r>
      <w:r w:rsidRPr="00563712">
        <w:rPr>
          <w:rFonts w:ascii="Times New Roman" w:hAnsi="Times New Roman"/>
          <w:lang w:val="en-GB"/>
        </w:rPr>
        <w:t>data collection</w:t>
      </w:r>
      <w:r w:rsidR="00F12B13" w:rsidRPr="00563712">
        <w:rPr>
          <w:rFonts w:ascii="Times New Roman" w:hAnsi="Times New Roman"/>
          <w:lang w:val="en-GB"/>
        </w:rPr>
        <w:t xml:space="preserve"> (2012)</w:t>
      </w:r>
      <w:r w:rsidR="00082A97" w:rsidRPr="00563712">
        <w:rPr>
          <w:rFonts w:ascii="Times New Roman" w:hAnsi="Times New Roman"/>
          <w:lang w:val="en-GB"/>
        </w:rPr>
        <w:t xml:space="preserve">. </w:t>
      </w:r>
      <w:r w:rsidRPr="00563712">
        <w:rPr>
          <w:rFonts w:ascii="Times New Roman" w:hAnsi="Times New Roman"/>
          <w:lang w:val="en-GB"/>
        </w:rPr>
        <w:t xml:space="preserve">Thus, three countries are selected here: </w:t>
      </w:r>
      <w:r w:rsidR="00082A97" w:rsidRPr="00563712">
        <w:rPr>
          <w:rFonts w:ascii="Times New Roman" w:hAnsi="Times New Roman"/>
          <w:i/>
          <w:lang w:val="en-GB"/>
        </w:rPr>
        <w:t>Germany</w:t>
      </w:r>
      <w:r w:rsidR="00082A97" w:rsidRPr="00563712">
        <w:rPr>
          <w:rFonts w:ascii="Times New Roman" w:hAnsi="Times New Roman"/>
          <w:lang w:val="en-GB"/>
        </w:rPr>
        <w:t xml:space="preserve"> newly saw right wing populism in the streets as well as a new political party</w:t>
      </w:r>
      <w:r w:rsidR="00F12B13" w:rsidRPr="00563712">
        <w:rPr>
          <w:rFonts w:ascii="Times New Roman" w:hAnsi="Times New Roman"/>
          <w:lang w:val="en-GB"/>
        </w:rPr>
        <w:t xml:space="preserve"> at the same time when the borders were open for refugees in September 2015</w:t>
      </w:r>
      <w:r w:rsidR="00082A97" w:rsidRPr="00563712">
        <w:rPr>
          <w:rFonts w:ascii="Times New Roman" w:hAnsi="Times New Roman"/>
          <w:lang w:val="en-GB"/>
        </w:rPr>
        <w:t xml:space="preserve">. </w:t>
      </w:r>
      <w:r w:rsidR="00082A97" w:rsidRPr="00563712">
        <w:rPr>
          <w:rFonts w:ascii="Times New Roman" w:hAnsi="Times New Roman"/>
          <w:i/>
          <w:lang w:val="en-GB"/>
        </w:rPr>
        <w:t>France</w:t>
      </w:r>
      <w:r w:rsidR="00082A97" w:rsidRPr="00563712">
        <w:rPr>
          <w:rFonts w:ascii="Times New Roman" w:hAnsi="Times New Roman"/>
          <w:lang w:val="en-GB"/>
        </w:rPr>
        <w:t xml:space="preserve"> had strong Front National results in regional elections</w:t>
      </w:r>
      <w:r w:rsidR="00F12B13" w:rsidRPr="00563712">
        <w:rPr>
          <w:rFonts w:ascii="Times New Roman" w:hAnsi="Times New Roman"/>
          <w:lang w:val="en-GB"/>
        </w:rPr>
        <w:t xml:space="preserve"> in December 2015</w:t>
      </w:r>
      <w:r w:rsidR="00082A97" w:rsidRPr="00563712">
        <w:rPr>
          <w:rFonts w:ascii="Times New Roman" w:hAnsi="Times New Roman"/>
          <w:lang w:val="en-GB"/>
        </w:rPr>
        <w:t xml:space="preserve">. </w:t>
      </w:r>
      <w:r w:rsidR="00082A97" w:rsidRPr="00563712">
        <w:rPr>
          <w:rFonts w:ascii="Times New Roman" w:hAnsi="Times New Roman"/>
          <w:i/>
          <w:lang w:val="en-GB"/>
        </w:rPr>
        <w:t>Poland</w:t>
      </w:r>
      <w:r w:rsidR="00082A97" w:rsidRPr="00563712">
        <w:rPr>
          <w:rFonts w:ascii="Times New Roman" w:hAnsi="Times New Roman"/>
          <w:lang w:val="en-GB"/>
        </w:rPr>
        <w:t xml:space="preserve"> voted for a nationalist </w:t>
      </w:r>
      <w:r w:rsidR="00082A97" w:rsidRPr="00563712">
        <w:rPr>
          <w:rFonts w:ascii="Times New Roman" w:hAnsi="Times New Roman"/>
          <w:lang w:val="en-GB"/>
        </w:rPr>
        <w:lastRenderedPageBreak/>
        <w:t>government</w:t>
      </w:r>
      <w:r w:rsidR="00F12B13" w:rsidRPr="00563712">
        <w:rPr>
          <w:rFonts w:ascii="Times New Roman" w:hAnsi="Times New Roman"/>
          <w:lang w:val="en-GB"/>
        </w:rPr>
        <w:t xml:space="preserve"> in October 2015</w:t>
      </w:r>
      <w:r w:rsidR="00082A97" w:rsidRPr="00563712">
        <w:rPr>
          <w:rFonts w:ascii="Times New Roman" w:hAnsi="Times New Roman"/>
          <w:lang w:val="en-GB"/>
        </w:rPr>
        <w:t xml:space="preserve">. All this took place </w:t>
      </w:r>
      <w:r w:rsidRPr="00563712">
        <w:rPr>
          <w:rFonts w:ascii="Times New Roman" w:hAnsi="Times New Roman"/>
          <w:lang w:val="en-GB"/>
        </w:rPr>
        <w:t xml:space="preserve">in or close before </w:t>
      </w:r>
      <w:r w:rsidR="00082A97" w:rsidRPr="00563712">
        <w:rPr>
          <w:rFonts w:ascii="Times New Roman" w:hAnsi="Times New Roman"/>
          <w:lang w:val="en-GB"/>
        </w:rPr>
        <w:t>this article was compiled. Thus, the interpretation of results keeps a special look onto these three countries.</w:t>
      </w:r>
    </w:p>
    <w:p w14:paraId="04ED1A56" w14:textId="77777777" w:rsidR="00082A97" w:rsidRPr="00563712" w:rsidRDefault="00082A97" w:rsidP="005B3785">
      <w:pPr>
        <w:spacing w:after="0" w:line="480" w:lineRule="auto"/>
        <w:rPr>
          <w:rFonts w:ascii="Times New Roman" w:hAnsi="Times New Roman"/>
          <w:lang w:val="en-GB"/>
        </w:rPr>
      </w:pPr>
    </w:p>
    <w:p w14:paraId="17181682" w14:textId="77777777" w:rsidR="00B616F1" w:rsidRPr="00563712" w:rsidRDefault="00B616F1" w:rsidP="005B3785">
      <w:pPr>
        <w:pStyle w:val="Rubrik1"/>
        <w:numPr>
          <w:ilvl w:val="0"/>
          <w:numId w:val="30"/>
        </w:numPr>
        <w:spacing w:before="0" w:line="480" w:lineRule="auto"/>
        <w:ind w:left="360"/>
        <w:rPr>
          <w:rFonts w:ascii="Times New Roman" w:hAnsi="Times New Roman"/>
          <w:color w:val="auto"/>
          <w:lang w:val="en-GB"/>
        </w:rPr>
      </w:pPr>
      <w:bookmarkStart w:id="1" w:name="_Toc439084888"/>
      <w:bookmarkStart w:id="2" w:name="_Toc453846537"/>
      <w:r w:rsidRPr="00563712">
        <w:rPr>
          <w:rFonts w:ascii="Times New Roman" w:hAnsi="Times New Roman"/>
          <w:color w:val="auto"/>
          <w:lang w:val="en-GB"/>
        </w:rPr>
        <w:t>Workforce Literacy Programs versus Bas</w:t>
      </w:r>
      <w:r w:rsidR="006102AD" w:rsidRPr="00563712">
        <w:rPr>
          <w:rFonts w:ascii="Times New Roman" w:hAnsi="Times New Roman"/>
          <w:color w:val="auto"/>
          <w:lang w:val="en-GB"/>
        </w:rPr>
        <w:t>ic Civic Education: the German C</w:t>
      </w:r>
      <w:r w:rsidRPr="00563712">
        <w:rPr>
          <w:rFonts w:ascii="Times New Roman" w:hAnsi="Times New Roman"/>
          <w:color w:val="auto"/>
          <w:lang w:val="en-GB"/>
        </w:rPr>
        <w:t xml:space="preserve">ase </w:t>
      </w:r>
      <w:bookmarkEnd w:id="1"/>
      <w:bookmarkEnd w:id="2"/>
    </w:p>
    <w:p w14:paraId="122434B9" w14:textId="77777777" w:rsidR="00B616F1" w:rsidRPr="00563712" w:rsidRDefault="00B616F1" w:rsidP="005B3785">
      <w:pPr>
        <w:spacing w:after="0" w:line="480" w:lineRule="auto"/>
        <w:rPr>
          <w:rFonts w:ascii="Times New Roman" w:hAnsi="Times New Roman"/>
          <w:lang w:val="en-GB"/>
        </w:rPr>
      </w:pPr>
    </w:p>
    <w:p w14:paraId="1207593A" w14:textId="77777777" w:rsidR="00B616F1" w:rsidRPr="00563712" w:rsidRDefault="00B616F1" w:rsidP="005B3785">
      <w:pPr>
        <w:spacing w:after="0" w:line="480" w:lineRule="auto"/>
        <w:rPr>
          <w:rFonts w:ascii="Times New Roman" w:hAnsi="Times New Roman"/>
          <w:lang w:val="en-GB"/>
        </w:rPr>
      </w:pPr>
      <w:r w:rsidRPr="00563712">
        <w:rPr>
          <w:rFonts w:ascii="Times New Roman" w:hAnsi="Times New Roman"/>
          <w:lang w:val="en-GB"/>
        </w:rPr>
        <w:t>Via the Level-One Survey, published in 2011, it became clear that more than seven million German adults (14,5% of the adult population aged 18-64) read and write on a level that equates the international UNESCO definition of functional illiteracy (</w:t>
      </w:r>
      <w:r w:rsidR="00102D0D" w:rsidRPr="00563712">
        <w:rPr>
          <w:rFonts w:ascii="Times New Roman" w:hAnsi="Times New Roman"/>
          <w:lang w:val="en-GB"/>
        </w:rPr>
        <w:t>deleted for anonymity</w:t>
      </w:r>
      <w:r w:rsidRPr="00563712">
        <w:rPr>
          <w:rFonts w:ascii="Times New Roman" w:hAnsi="Times New Roman"/>
          <w:lang w:val="en-GB"/>
        </w:rPr>
        <w:t>). Follow-up programs funded by the federal ministry of education, the federal laender and the European commission prioritize literacy programs addressing the workforce and their needs in the workplace.</w:t>
      </w:r>
    </w:p>
    <w:p w14:paraId="3EF6CC81" w14:textId="77777777" w:rsidR="005B3785" w:rsidRPr="00563712" w:rsidRDefault="005B3785" w:rsidP="005B3785">
      <w:pPr>
        <w:spacing w:after="0" w:line="480" w:lineRule="auto"/>
        <w:rPr>
          <w:rFonts w:ascii="Times New Roman" w:hAnsi="Times New Roman"/>
          <w:lang w:val="en-GB"/>
        </w:rPr>
      </w:pPr>
    </w:p>
    <w:p w14:paraId="1D1040D0" w14:textId="77777777" w:rsidR="00B616F1" w:rsidRPr="00563712" w:rsidRDefault="00B616F1" w:rsidP="005B3785">
      <w:pPr>
        <w:spacing w:after="0" w:line="480" w:lineRule="auto"/>
        <w:rPr>
          <w:rFonts w:ascii="Times New Roman" w:hAnsi="Times New Roman"/>
          <w:lang w:val="en-GB"/>
        </w:rPr>
      </w:pPr>
      <w:r w:rsidRPr="00563712">
        <w:rPr>
          <w:rFonts w:ascii="Times New Roman" w:hAnsi="Times New Roman"/>
          <w:lang w:val="en-GB"/>
        </w:rPr>
        <w:t>The international PIAAC survey confirmed the results: According to PIAAC, 17,5% of German adults aged 16-64 belong to reading literacy competence level I and below, the international average being 15,5% (OECD, 2013; Rammstedt</w:t>
      </w:r>
      <w:r w:rsidR="007F14E7" w:rsidRPr="00563712">
        <w:rPr>
          <w:rFonts w:ascii="Times New Roman" w:hAnsi="Times New Roman"/>
          <w:lang w:val="en-GB"/>
        </w:rPr>
        <w:t>,</w:t>
      </w:r>
      <w:r w:rsidRPr="00563712">
        <w:rPr>
          <w:rFonts w:ascii="Times New Roman" w:hAnsi="Times New Roman"/>
          <w:lang w:val="en-GB"/>
        </w:rPr>
        <w:t xml:space="preserve"> 2013). The description of this level does not equal the LEO descriptions, so this subpopulation should not be called </w:t>
      </w:r>
      <w:r w:rsidRPr="00563712">
        <w:rPr>
          <w:rFonts w:ascii="Times New Roman" w:hAnsi="Times New Roman"/>
          <w:i/>
          <w:lang w:val="en-GB"/>
        </w:rPr>
        <w:t>functionally illiterate</w:t>
      </w:r>
      <w:r w:rsidRPr="00563712">
        <w:rPr>
          <w:rFonts w:ascii="Times New Roman" w:hAnsi="Times New Roman"/>
          <w:lang w:val="en-GB"/>
        </w:rPr>
        <w:t xml:space="preserve"> – for this article we will consider this subpopulation as </w:t>
      </w:r>
      <w:r w:rsidRPr="00563712">
        <w:rPr>
          <w:rFonts w:ascii="Times New Roman" w:hAnsi="Times New Roman"/>
          <w:i/>
          <w:lang w:val="en-GB"/>
        </w:rPr>
        <w:t>adults with low literacy skills</w:t>
      </w:r>
      <w:r w:rsidRPr="00563712">
        <w:rPr>
          <w:rFonts w:ascii="Times New Roman" w:hAnsi="Times New Roman"/>
          <w:lang w:val="en-GB"/>
        </w:rPr>
        <w:t>. Still, there are substantial concerns about this group, and these concerns drive the development of national strategies and educational programs to improve adult literacy.</w:t>
      </w:r>
    </w:p>
    <w:p w14:paraId="13933E23" w14:textId="77777777" w:rsidR="005B3785" w:rsidRPr="00563712" w:rsidRDefault="005B3785" w:rsidP="005B3785">
      <w:pPr>
        <w:spacing w:after="0" w:line="480" w:lineRule="auto"/>
        <w:rPr>
          <w:rFonts w:ascii="Times New Roman" w:hAnsi="Times New Roman"/>
          <w:lang w:val="en-GB"/>
        </w:rPr>
      </w:pPr>
    </w:p>
    <w:p w14:paraId="12C37EA3" w14:textId="77777777" w:rsidR="00B616F1" w:rsidRPr="00563712" w:rsidRDefault="00B616F1" w:rsidP="005B3785">
      <w:pPr>
        <w:spacing w:after="0" w:line="480" w:lineRule="auto"/>
        <w:rPr>
          <w:rFonts w:ascii="Times New Roman" w:hAnsi="Times New Roman"/>
          <w:b/>
          <w:lang w:val="en-GB"/>
        </w:rPr>
      </w:pPr>
      <w:r w:rsidRPr="00563712">
        <w:rPr>
          <w:rFonts w:ascii="Times New Roman" w:hAnsi="Times New Roman"/>
          <w:lang w:val="en-GB"/>
        </w:rPr>
        <w:t xml:space="preserve">This article focuses on the relevance of basic civic education for adults with low literacy skills, whether they are excluded from political participation and how the theoretical explanations for differences in political and social participation of population subgroups have developed. Therefore </w:t>
      </w:r>
      <w:r w:rsidR="00C5606A" w:rsidRPr="00563712">
        <w:rPr>
          <w:rFonts w:ascii="Times New Roman" w:hAnsi="Times New Roman"/>
          <w:lang w:val="en-GB"/>
        </w:rPr>
        <w:t>the research question is</w:t>
      </w:r>
      <w:r w:rsidRPr="00563712">
        <w:rPr>
          <w:rFonts w:ascii="Times New Roman" w:hAnsi="Times New Roman"/>
          <w:lang w:val="en-GB"/>
        </w:rPr>
        <w:t xml:space="preserve">: </w:t>
      </w:r>
      <w:r w:rsidRPr="00563712">
        <w:rPr>
          <w:rFonts w:ascii="Times New Roman" w:hAnsi="Times New Roman"/>
          <w:b/>
          <w:lang w:val="en-GB"/>
        </w:rPr>
        <w:t xml:space="preserve">Do adults with low literacy skills agree less often on feelings of </w:t>
      </w:r>
      <w:r w:rsidRPr="00563712">
        <w:rPr>
          <w:rFonts w:ascii="Times New Roman" w:hAnsi="Times New Roman"/>
          <w:b/>
          <w:i/>
          <w:lang w:val="en-GB"/>
        </w:rPr>
        <w:t>political efficacy</w:t>
      </w:r>
      <w:r w:rsidRPr="00563712">
        <w:rPr>
          <w:rFonts w:ascii="Times New Roman" w:hAnsi="Times New Roman"/>
          <w:b/>
          <w:lang w:val="en-GB"/>
        </w:rPr>
        <w:t xml:space="preserve"> and </w:t>
      </w:r>
      <w:r w:rsidRPr="00563712">
        <w:rPr>
          <w:rFonts w:ascii="Times New Roman" w:hAnsi="Times New Roman"/>
          <w:b/>
          <w:i/>
          <w:lang w:val="en-GB"/>
        </w:rPr>
        <w:t>social trust</w:t>
      </w:r>
      <w:r w:rsidR="00BC63AA" w:rsidRPr="00563712">
        <w:rPr>
          <w:rFonts w:ascii="Times New Roman" w:hAnsi="Times New Roman"/>
          <w:b/>
          <w:i/>
          <w:lang w:val="en-GB"/>
        </w:rPr>
        <w:t xml:space="preserve"> </w:t>
      </w:r>
      <w:r w:rsidR="00BC63AA" w:rsidRPr="00563712">
        <w:rPr>
          <w:rFonts w:ascii="Times New Roman" w:hAnsi="Times New Roman"/>
          <w:b/>
          <w:lang w:val="en-GB"/>
        </w:rPr>
        <w:t>than adults with high literacy skills</w:t>
      </w:r>
      <w:r w:rsidRPr="00563712">
        <w:rPr>
          <w:rFonts w:ascii="Times New Roman" w:hAnsi="Times New Roman"/>
          <w:b/>
          <w:lang w:val="en-GB"/>
        </w:rPr>
        <w:t xml:space="preserve">? Do they engage less often in </w:t>
      </w:r>
      <w:r w:rsidRPr="00563712">
        <w:rPr>
          <w:rFonts w:ascii="Times New Roman" w:hAnsi="Times New Roman"/>
          <w:b/>
          <w:i/>
          <w:lang w:val="en-GB"/>
        </w:rPr>
        <w:t>volunteering</w:t>
      </w:r>
      <w:r w:rsidRPr="00563712">
        <w:rPr>
          <w:rFonts w:ascii="Times New Roman" w:hAnsi="Times New Roman"/>
          <w:b/>
          <w:lang w:val="en-GB"/>
        </w:rPr>
        <w:t xml:space="preserve"> than adults with high literacy skills? </w:t>
      </w:r>
    </w:p>
    <w:p w14:paraId="70DDF659" w14:textId="77777777" w:rsidR="005B3785" w:rsidRPr="00563712" w:rsidRDefault="005B3785" w:rsidP="005B3785">
      <w:pPr>
        <w:spacing w:after="0" w:line="480" w:lineRule="auto"/>
        <w:rPr>
          <w:rFonts w:ascii="Times New Roman" w:hAnsi="Times New Roman"/>
          <w:lang w:val="en-GB"/>
        </w:rPr>
      </w:pPr>
    </w:p>
    <w:p w14:paraId="0E40AAF2" w14:textId="77777777" w:rsidR="00B616F1" w:rsidRPr="00563712" w:rsidRDefault="00B616F1" w:rsidP="005B3785">
      <w:pPr>
        <w:spacing w:after="0" w:line="480" w:lineRule="auto"/>
        <w:rPr>
          <w:rFonts w:ascii="Times New Roman" w:hAnsi="Times New Roman"/>
          <w:lang w:val="en-GB"/>
        </w:rPr>
      </w:pPr>
      <w:r w:rsidRPr="00563712">
        <w:rPr>
          <w:rFonts w:ascii="Times New Roman" w:hAnsi="Times New Roman"/>
          <w:lang w:val="en-GB"/>
        </w:rPr>
        <w:t xml:space="preserve">If so, </w:t>
      </w:r>
      <w:r w:rsidR="00BC63AA" w:rsidRPr="00563712">
        <w:rPr>
          <w:rFonts w:ascii="Times New Roman" w:hAnsi="Times New Roman"/>
          <w:lang w:val="en-GB"/>
        </w:rPr>
        <w:t xml:space="preserve">it may be discussed whether low-literate adults’ </w:t>
      </w:r>
      <w:r w:rsidRPr="00563712">
        <w:rPr>
          <w:rFonts w:ascii="Times New Roman" w:hAnsi="Times New Roman"/>
          <w:lang w:val="en-GB"/>
        </w:rPr>
        <w:t xml:space="preserve">higher agreements </w:t>
      </w:r>
      <w:r w:rsidR="00BC63AA" w:rsidRPr="00563712">
        <w:rPr>
          <w:rFonts w:ascii="Times New Roman" w:hAnsi="Times New Roman"/>
          <w:lang w:val="en-GB"/>
        </w:rPr>
        <w:t xml:space="preserve">to feelings of political efficacy </w:t>
      </w:r>
      <w:r w:rsidRPr="00563712">
        <w:rPr>
          <w:rFonts w:ascii="Times New Roman" w:hAnsi="Times New Roman"/>
          <w:lang w:val="en-GB"/>
        </w:rPr>
        <w:t xml:space="preserve">and engagement </w:t>
      </w:r>
      <w:r w:rsidR="00BC63AA" w:rsidRPr="00563712">
        <w:rPr>
          <w:rFonts w:ascii="Times New Roman" w:hAnsi="Times New Roman"/>
          <w:lang w:val="en-GB"/>
        </w:rPr>
        <w:t xml:space="preserve">were </w:t>
      </w:r>
      <w:r w:rsidRPr="00563712">
        <w:rPr>
          <w:rFonts w:ascii="Times New Roman" w:hAnsi="Times New Roman"/>
          <w:lang w:val="en-GB"/>
        </w:rPr>
        <w:t>desirable</w:t>
      </w:r>
      <w:r w:rsidR="00BC63AA" w:rsidRPr="00563712">
        <w:rPr>
          <w:rFonts w:ascii="Times New Roman" w:hAnsi="Times New Roman"/>
          <w:lang w:val="en-GB"/>
        </w:rPr>
        <w:t xml:space="preserve"> (actually political efficacy can be performed by joining extremist groups as well which is not desirable from the standpoint of democratic states). It is also relevant to take into consideration whether </w:t>
      </w:r>
      <w:r w:rsidRPr="00563712">
        <w:rPr>
          <w:rFonts w:ascii="Times New Roman" w:hAnsi="Times New Roman"/>
          <w:lang w:val="en-GB"/>
        </w:rPr>
        <w:t xml:space="preserve">national literacy strategies then also </w:t>
      </w:r>
      <w:r w:rsidR="00BC63AA" w:rsidRPr="00563712">
        <w:rPr>
          <w:rFonts w:ascii="Times New Roman" w:hAnsi="Times New Roman"/>
          <w:lang w:val="en-GB"/>
        </w:rPr>
        <w:t xml:space="preserve">should </w:t>
      </w:r>
      <w:r w:rsidRPr="00563712">
        <w:rPr>
          <w:rFonts w:ascii="Times New Roman" w:hAnsi="Times New Roman"/>
          <w:lang w:val="en-GB"/>
        </w:rPr>
        <w:t>focus on the theoretical and practical impro</w:t>
      </w:r>
      <w:r w:rsidR="00BC63AA" w:rsidRPr="00563712">
        <w:rPr>
          <w:rFonts w:ascii="Times New Roman" w:hAnsi="Times New Roman"/>
          <w:lang w:val="en-GB"/>
        </w:rPr>
        <w:t>vement of basic civic education.</w:t>
      </w:r>
      <w:r w:rsidRPr="00563712">
        <w:rPr>
          <w:rStyle w:val="Slutnotsreferens"/>
          <w:rFonts w:ascii="Times New Roman" w:hAnsi="Times New Roman"/>
          <w:lang w:val="en-GB"/>
        </w:rPr>
        <w:endnoteReference w:id="4"/>
      </w:r>
    </w:p>
    <w:p w14:paraId="61EACE11" w14:textId="77777777" w:rsidR="00B616F1" w:rsidRPr="00563712" w:rsidRDefault="00B616F1" w:rsidP="005B3785">
      <w:pPr>
        <w:spacing w:after="0" w:line="480" w:lineRule="auto"/>
        <w:rPr>
          <w:rFonts w:ascii="Times New Roman" w:hAnsi="Times New Roman"/>
          <w:lang w:val="en-GB"/>
        </w:rPr>
      </w:pPr>
    </w:p>
    <w:p w14:paraId="07F05F4F" w14:textId="77777777" w:rsidR="00B616F1" w:rsidRPr="00563712" w:rsidRDefault="00B616F1" w:rsidP="005B3785">
      <w:pPr>
        <w:spacing w:after="0" w:line="480" w:lineRule="auto"/>
        <w:rPr>
          <w:rFonts w:ascii="Times New Roman" w:hAnsi="Times New Roman"/>
          <w:lang w:val="en-GB"/>
        </w:rPr>
      </w:pPr>
      <w:r w:rsidRPr="00563712">
        <w:rPr>
          <w:rFonts w:ascii="Times New Roman" w:hAnsi="Times New Roman"/>
          <w:lang w:val="en-GB"/>
        </w:rPr>
        <w:t>To answer these questions, the following sections will analyse recent theoretical approaches which give the three variables a broader sense and meaning. The approaches do not follow the rational-choice approach, partly underlying the PIAAC theoretical framework (OECD</w:t>
      </w:r>
      <w:r w:rsidR="007F14E7" w:rsidRPr="00563712">
        <w:rPr>
          <w:rFonts w:ascii="Times New Roman" w:hAnsi="Times New Roman"/>
          <w:lang w:val="en-GB"/>
        </w:rPr>
        <w:t>,</w:t>
      </w:r>
      <w:r w:rsidRPr="00563712">
        <w:rPr>
          <w:rFonts w:ascii="Times New Roman" w:hAnsi="Times New Roman"/>
          <w:lang w:val="en-GB"/>
        </w:rPr>
        <w:t xml:space="preserve"> 2011), but substantially exceed the idea of a </w:t>
      </w:r>
      <w:r w:rsidRPr="00563712">
        <w:rPr>
          <w:rFonts w:ascii="Times New Roman" w:hAnsi="Times New Roman"/>
          <w:i/>
          <w:lang w:val="en-GB"/>
        </w:rPr>
        <w:t>homo economicus</w:t>
      </w:r>
      <w:r w:rsidRPr="00563712">
        <w:rPr>
          <w:rFonts w:ascii="Times New Roman" w:hAnsi="Times New Roman"/>
          <w:lang w:val="en-GB"/>
        </w:rPr>
        <w:t xml:space="preserve">. We prefer a recent French philosophers’ discussion of a </w:t>
      </w:r>
      <w:r w:rsidRPr="00563712">
        <w:rPr>
          <w:rFonts w:ascii="Times New Roman" w:hAnsi="Times New Roman"/>
          <w:i/>
          <w:lang w:val="en-GB"/>
        </w:rPr>
        <w:t xml:space="preserve">homo reciprocans </w:t>
      </w:r>
      <w:r w:rsidRPr="00563712">
        <w:rPr>
          <w:rFonts w:ascii="Times New Roman" w:hAnsi="Times New Roman"/>
          <w:lang w:val="en-GB"/>
        </w:rPr>
        <w:t>(see below</w:t>
      </w:r>
      <w:r w:rsidRPr="00563712">
        <w:rPr>
          <w:rFonts w:ascii="Times New Roman" w:hAnsi="Times New Roman"/>
          <w:i/>
          <w:lang w:val="en-GB"/>
        </w:rPr>
        <w:t xml:space="preserve">, </w:t>
      </w:r>
      <w:r w:rsidRPr="00563712">
        <w:rPr>
          <w:rFonts w:ascii="Times New Roman" w:hAnsi="Times New Roman"/>
          <w:lang w:val="en-GB"/>
        </w:rPr>
        <w:t>Rosanvallon</w:t>
      </w:r>
      <w:r w:rsidR="007F14E7" w:rsidRPr="00563712">
        <w:rPr>
          <w:rFonts w:ascii="Times New Roman" w:hAnsi="Times New Roman"/>
          <w:lang w:val="en-GB"/>
        </w:rPr>
        <w:t>,</w:t>
      </w:r>
      <w:r w:rsidRPr="00563712">
        <w:rPr>
          <w:rFonts w:ascii="Times New Roman" w:hAnsi="Times New Roman"/>
          <w:lang w:val="en-GB"/>
        </w:rPr>
        <w:t xml:space="preserve"> 2013). </w:t>
      </w:r>
    </w:p>
    <w:p w14:paraId="2B851A37" w14:textId="77777777" w:rsidR="00B616F1" w:rsidRPr="00563712" w:rsidRDefault="00B616F1" w:rsidP="005B3785">
      <w:pPr>
        <w:spacing w:after="0" w:line="480" w:lineRule="auto"/>
        <w:rPr>
          <w:rFonts w:ascii="Times New Roman" w:hAnsi="Times New Roman"/>
          <w:lang w:val="en-GB"/>
        </w:rPr>
      </w:pPr>
    </w:p>
    <w:p w14:paraId="2C4B7285" w14:textId="77777777" w:rsidR="00B616F1" w:rsidRPr="00563712" w:rsidRDefault="00B616F1" w:rsidP="005B3785">
      <w:pPr>
        <w:pStyle w:val="Rubrik1"/>
        <w:numPr>
          <w:ilvl w:val="0"/>
          <w:numId w:val="30"/>
        </w:numPr>
        <w:spacing w:before="0" w:line="480" w:lineRule="auto"/>
        <w:ind w:left="360"/>
        <w:rPr>
          <w:rFonts w:ascii="Times New Roman" w:hAnsi="Times New Roman"/>
          <w:color w:val="auto"/>
          <w:lang w:val="en-GB"/>
        </w:rPr>
      </w:pPr>
      <w:bookmarkStart w:id="3" w:name="_Toc453846538"/>
      <w:r w:rsidRPr="00563712">
        <w:rPr>
          <w:rFonts w:ascii="Times New Roman" w:hAnsi="Times New Roman"/>
          <w:color w:val="auto"/>
          <w:lang w:val="en-GB"/>
        </w:rPr>
        <w:t>Economic inequalities (Piketty) and their ideological legitimization via the narrative of equal chances</w:t>
      </w:r>
      <w:bookmarkEnd w:id="3"/>
      <w:r w:rsidRPr="00563712">
        <w:rPr>
          <w:rFonts w:ascii="Times New Roman" w:hAnsi="Times New Roman"/>
          <w:color w:val="auto"/>
          <w:lang w:val="en-GB"/>
        </w:rPr>
        <w:t xml:space="preserve"> (Rosanvallon)</w:t>
      </w:r>
    </w:p>
    <w:p w14:paraId="6575172E" w14:textId="77777777" w:rsidR="005B3785" w:rsidRPr="00563712" w:rsidRDefault="005B3785" w:rsidP="005B3785">
      <w:pPr>
        <w:spacing w:after="0" w:line="480" w:lineRule="auto"/>
        <w:rPr>
          <w:rFonts w:ascii="Times New Roman" w:hAnsi="Times New Roman"/>
          <w:lang w:val="en-GB"/>
        </w:rPr>
      </w:pPr>
    </w:p>
    <w:p w14:paraId="580728C2" w14:textId="77777777" w:rsidR="00B616F1" w:rsidRPr="00563712" w:rsidRDefault="00B616F1" w:rsidP="005B3785">
      <w:pPr>
        <w:spacing w:after="0" w:line="480" w:lineRule="auto"/>
        <w:rPr>
          <w:rFonts w:ascii="Times New Roman" w:hAnsi="Times New Roman"/>
          <w:lang w:val="en-GB"/>
        </w:rPr>
      </w:pPr>
      <w:r w:rsidRPr="00563712">
        <w:rPr>
          <w:rFonts w:ascii="Times New Roman" w:hAnsi="Times New Roman"/>
          <w:lang w:val="en-GB"/>
        </w:rPr>
        <w:t>Current assumptions about the situation of economies and societies – especially in the U.S.A. and France – are strongly influenced the most recent publications in political sciences and economics. Highly relevant discussions have followed the publication of “Capital in the 21</w:t>
      </w:r>
      <w:r w:rsidRPr="00563712">
        <w:rPr>
          <w:rFonts w:ascii="Times New Roman" w:hAnsi="Times New Roman"/>
          <w:vertAlign w:val="superscript"/>
          <w:lang w:val="en-GB"/>
        </w:rPr>
        <w:t>st</w:t>
      </w:r>
      <w:r w:rsidRPr="00563712">
        <w:rPr>
          <w:rFonts w:ascii="Times New Roman" w:hAnsi="Times New Roman"/>
          <w:lang w:val="en-GB"/>
        </w:rPr>
        <w:t xml:space="preserve"> Century” by French economist Thomas Piketty (Kaufmann</w:t>
      </w:r>
      <w:r w:rsidR="007F14E7" w:rsidRPr="00563712">
        <w:rPr>
          <w:rFonts w:ascii="Times New Roman" w:hAnsi="Times New Roman"/>
          <w:lang w:val="en-GB"/>
        </w:rPr>
        <w:t>,</w:t>
      </w:r>
      <w:r w:rsidRPr="00563712">
        <w:rPr>
          <w:rFonts w:ascii="Times New Roman" w:hAnsi="Times New Roman"/>
          <w:lang w:val="en-GB"/>
        </w:rPr>
        <w:t> </w:t>
      </w:r>
      <w:r w:rsidR="007F14E7" w:rsidRPr="00563712">
        <w:rPr>
          <w:rFonts w:ascii="Times New Roman" w:hAnsi="Times New Roman"/>
          <w:lang w:val="en-GB"/>
        </w:rPr>
        <w:t>&amp;</w:t>
      </w:r>
      <w:r w:rsidRPr="00563712">
        <w:rPr>
          <w:rFonts w:ascii="Times New Roman" w:hAnsi="Times New Roman"/>
          <w:lang w:val="en-GB"/>
        </w:rPr>
        <w:t> Stützl, 2015; Piketty</w:t>
      </w:r>
      <w:r w:rsidR="007F14E7" w:rsidRPr="00563712">
        <w:rPr>
          <w:rFonts w:ascii="Times New Roman" w:hAnsi="Times New Roman"/>
          <w:lang w:val="en-GB"/>
        </w:rPr>
        <w:t>,</w:t>
      </w:r>
      <w:r w:rsidRPr="00563712">
        <w:rPr>
          <w:rFonts w:ascii="Times New Roman" w:hAnsi="Times New Roman"/>
          <w:lang w:val="en-GB"/>
        </w:rPr>
        <w:t xml:space="preserve"> 2014). Piketty analysed tax data over two centuries and concluded: Firstly, capital grows faster than income – his famous formula “r &gt; g” (revenue exceeds growth) receives some criticism, especially because of the database. Although interesting, this first conclusion is not so relevant for this article, so I do not discuss it further. </w:t>
      </w:r>
    </w:p>
    <w:p w14:paraId="25B38DA5" w14:textId="77777777" w:rsidR="005B3785" w:rsidRPr="00563712" w:rsidRDefault="005B3785" w:rsidP="005B3785">
      <w:pPr>
        <w:spacing w:after="0" w:line="480" w:lineRule="auto"/>
        <w:rPr>
          <w:rFonts w:ascii="Times New Roman" w:hAnsi="Times New Roman"/>
          <w:lang w:val="en-GB"/>
        </w:rPr>
      </w:pPr>
    </w:p>
    <w:p w14:paraId="744DAD62" w14:textId="77777777" w:rsidR="00B616F1" w:rsidRPr="00563712" w:rsidRDefault="00B616F1" w:rsidP="005B3785">
      <w:pPr>
        <w:spacing w:after="0" w:line="480" w:lineRule="auto"/>
        <w:rPr>
          <w:rFonts w:ascii="Times New Roman" w:hAnsi="Times New Roman"/>
          <w:lang w:val="en-GB"/>
        </w:rPr>
      </w:pPr>
      <w:r w:rsidRPr="00563712">
        <w:rPr>
          <w:rFonts w:ascii="Times New Roman" w:hAnsi="Times New Roman"/>
          <w:lang w:val="en-GB"/>
        </w:rPr>
        <w:lastRenderedPageBreak/>
        <w:t>Secondly, Piketty concludes that the economic gaps in France and the US have increased since the 1980s, after having decreased for roughly 200 years because of revolutions, democratic developments, war and socio-political change. Piketty’s second conclusion can be confirmed at least for Germany from regular reports on poverty and wealth (</w:t>
      </w:r>
      <w:r w:rsidRPr="00563712">
        <w:rPr>
          <w:rFonts w:ascii="Times New Roman" w:hAnsi="Times New Roman"/>
          <w:i/>
          <w:lang w:val="en-GB"/>
        </w:rPr>
        <w:t>Armuts- und Reichtumsberichte)</w:t>
      </w:r>
      <w:r w:rsidRPr="00563712">
        <w:rPr>
          <w:rStyle w:val="Slutnotsreferens"/>
          <w:rFonts w:ascii="Times New Roman" w:hAnsi="Times New Roman"/>
          <w:lang w:val="en-GB"/>
        </w:rPr>
        <w:endnoteReference w:id="5"/>
      </w:r>
      <w:r w:rsidRPr="00563712">
        <w:rPr>
          <w:rFonts w:ascii="Times New Roman" w:hAnsi="Times New Roman"/>
          <w:lang w:val="en-GB"/>
        </w:rPr>
        <w:t xml:space="preserve">. </w:t>
      </w:r>
    </w:p>
    <w:p w14:paraId="63017C84" w14:textId="77777777" w:rsidR="005B3785" w:rsidRPr="00563712" w:rsidRDefault="005B3785" w:rsidP="005B3785">
      <w:pPr>
        <w:spacing w:after="0" w:line="480" w:lineRule="auto"/>
        <w:rPr>
          <w:rFonts w:ascii="Times New Roman" w:hAnsi="Times New Roman"/>
          <w:lang w:val="en-GB"/>
        </w:rPr>
      </w:pPr>
    </w:p>
    <w:p w14:paraId="4B12ADCB" w14:textId="77777777" w:rsidR="00B616F1" w:rsidRPr="00563712" w:rsidRDefault="00B616F1" w:rsidP="005B3785">
      <w:pPr>
        <w:spacing w:after="0" w:line="480" w:lineRule="auto"/>
        <w:rPr>
          <w:rFonts w:ascii="Times New Roman" w:hAnsi="Times New Roman"/>
          <w:lang w:val="en-GB"/>
        </w:rPr>
      </w:pPr>
      <w:r w:rsidRPr="00563712">
        <w:rPr>
          <w:rFonts w:ascii="Times New Roman" w:hAnsi="Times New Roman"/>
          <w:lang w:val="en-GB"/>
        </w:rPr>
        <w:t>Piketty suggests global tax policies as well as higher taxation of the richest sections of societies (Kaufmann</w:t>
      </w:r>
      <w:r w:rsidR="007F14E7" w:rsidRPr="00563712">
        <w:rPr>
          <w:rFonts w:ascii="Times New Roman" w:hAnsi="Times New Roman"/>
          <w:lang w:val="en-GB"/>
        </w:rPr>
        <w:t>,</w:t>
      </w:r>
      <w:r w:rsidRPr="00563712">
        <w:rPr>
          <w:rFonts w:ascii="Times New Roman" w:hAnsi="Times New Roman"/>
          <w:lang w:val="en-GB"/>
        </w:rPr>
        <w:t> </w:t>
      </w:r>
      <w:r w:rsidR="007F14E7" w:rsidRPr="00563712">
        <w:rPr>
          <w:rFonts w:ascii="Times New Roman" w:hAnsi="Times New Roman"/>
          <w:lang w:val="en-GB"/>
        </w:rPr>
        <w:t>&amp;</w:t>
      </w:r>
      <w:r w:rsidRPr="00563712">
        <w:rPr>
          <w:rFonts w:ascii="Times New Roman" w:hAnsi="Times New Roman"/>
          <w:lang w:val="en-GB"/>
        </w:rPr>
        <w:t> Stützle</w:t>
      </w:r>
      <w:r w:rsidR="007F14E7" w:rsidRPr="00563712">
        <w:rPr>
          <w:rFonts w:ascii="Times New Roman" w:hAnsi="Times New Roman"/>
          <w:lang w:val="en-GB"/>
        </w:rPr>
        <w:t>,</w:t>
      </w:r>
      <w:r w:rsidRPr="00563712">
        <w:rPr>
          <w:rFonts w:ascii="Times New Roman" w:hAnsi="Times New Roman"/>
          <w:lang w:val="en-GB"/>
        </w:rPr>
        <w:t xml:space="preserve"> 2015). His core focus is the </w:t>
      </w:r>
      <w:r w:rsidRPr="00563712">
        <w:rPr>
          <w:rFonts w:ascii="Times New Roman" w:hAnsi="Times New Roman"/>
          <w:i/>
          <w:lang w:val="en-GB"/>
        </w:rPr>
        <w:t>equality of distribution</w:t>
      </w:r>
      <w:r w:rsidRPr="00563712">
        <w:rPr>
          <w:rFonts w:ascii="Times New Roman" w:hAnsi="Times New Roman"/>
          <w:lang w:val="en-GB"/>
        </w:rPr>
        <w:t xml:space="preserve">, pointing at financial and economical inequalities. </w:t>
      </w:r>
    </w:p>
    <w:p w14:paraId="26A2166B" w14:textId="77777777" w:rsidR="00B616F1" w:rsidRPr="00563712" w:rsidRDefault="00B616F1" w:rsidP="005B3785">
      <w:pPr>
        <w:spacing w:after="0" w:line="480" w:lineRule="auto"/>
        <w:rPr>
          <w:rFonts w:ascii="Times New Roman" w:hAnsi="Times New Roman"/>
          <w:lang w:val="en-GB"/>
        </w:rPr>
      </w:pPr>
    </w:p>
    <w:p w14:paraId="3342E043" w14:textId="77777777" w:rsidR="00B616F1" w:rsidRPr="00563712" w:rsidRDefault="00B616F1" w:rsidP="005B3785">
      <w:pPr>
        <w:spacing w:after="0" w:line="480" w:lineRule="auto"/>
        <w:rPr>
          <w:rFonts w:ascii="Times New Roman" w:hAnsi="Times New Roman"/>
          <w:lang w:val="en-GB"/>
        </w:rPr>
      </w:pPr>
      <w:r w:rsidRPr="00563712">
        <w:rPr>
          <w:rFonts w:ascii="Times New Roman" w:hAnsi="Times New Roman"/>
          <w:lang w:val="en-GB"/>
        </w:rPr>
        <w:t>While Piketty has been much discussed in the US since 2014, he was known much earlier in France for his analyses. The trade-unionist and scientist at the Collège de France, Pierre Rosanvallon, uses Piketty’s results as a starting point for his theoretical approach „Society of Equals“ (Rosanvallon</w:t>
      </w:r>
      <w:r w:rsidR="007F14E7" w:rsidRPr="00563712">
        <w:rPr>
          <w:rFonts w:ascii="Times New Roman" w:hAnsi="Times New Roman"/>
          <w:lang w:val="en-GB"/>
        </w:rPr>
        <w:t>,</w:t>
      </w:r>
      <w:r w:rsidRPr="00563712">
        <w:rPr>
          <w:rFonts w:ascii="Times New Roman" w:hAnsi="Times New Roman"/>
          <w:lang w:val="en-GB"/>
        </w:rPr>
        <w:t xml:space="preserve"> 2013). </w:t>
      </w:r>
    </w:p>
    <w:p w14:paraId="27A23891" w14:textId="77777777" w:rsidR="005B3785" w:rsidRPr="00563712" w:rsidRDefault="005B3785" w:rsidP="005B3785">
      <w:pPr>
        <w:spacing w:after="0" w:line="480" w:lineRule="auto"/>
        <w:rPr>
          <w:rFonts w:ascii="Times New Roman" w:hAnsi="Times New Roman"/>
          <w:lang w:val="en-GB"/>
        </w:rPr>
      </w:pPr>
    </w:p>
    <w:p w14:paraId="1560DE6E" w14:textId="77777777" w:rsidR="00B616F1" w:rsidRPr="00563712" w:rsidRDefault="00B616F1" w:rsidP="005B3785">
      <w:pPr>
        <w:spacing w:after="0" w:line="480" w:lineRule="auto"/>
        <w:rPr>
          <w:rFonts w:ascii="Times New Roman" w:hAnsi="Times New Roman"/>
          <w:lang w:val="en-GB"/>
        </w:rPr>
      </w:pPr>
      <w:r w:rsidRPr="00563712">
        <w:rPr>
          <w:rFonts w:ascii="Times New Roman" w:hAnsi="Times New Roman"/>
          <w:lang w:val="en-GB"/>
        </w:rPr>
        <w:t xml:space="preserve">Rosanvallon uses the economical </w:t>
      </w:r>
      <w:r w:rsidRPr="00563712">
        <w:rPr>
          <w:rFonts w:ascii="Times New Roman" w:hAnsi="Times New Roman"/>
          <w:i/>
          <w:lang w:val="en-GB"/>
        </w:rPr>
        <w:t xml:space="preserve">(in)equality of distribution </w:t>
      </w:r>
      <w:r w:rsidRPr="00563712">
        <w:rPr>
          <w:rFonts w:ascii="Times New Roman" w:hAnsi="Times New Roman"/>
          <w:lang w:val="en-GB"/>
        </w:rPr>
        <w:t xml:space="preserve">and asks about the legitimization of this kind of (in)equality in modern societies. He asks about the assumptions about communities and relations which allow inequality to be understood as fair. A core narrative in modern societies seems to be the idea of </w:t>
      </w:r>
      <w:r w:rsidRPr="00563712">
        <w:rPr>
          <w:rFonts w:ascii="Times New Roman" w:hAnsi="Times New Roman"/>
          <w:i/>
          <w:lang w:val="en-GB"/>
        </w:rPr>
        <w:t>equality of chances</w:t>
      </w:r>
      <w:r w:rsidRPr="00563712">
        <w:rPr>
          <w:rFonts w:ascii="Times New Roman" w:hAnsi="Times New Roman"/>
          <w:lang w:val="en-GB"/>
        </w:rPr>
        <w:t>. This narrative assumes that economic distribution is fair, as long as all members of a society have the same chance to climb the socioeconomic ladder by relying on their own performance and thus qualify for the income they receive.</w:t>
      </w:r>
    </w:p>
    <w:p w14:paraId="4041EDF0" w14:textId="77777777" w:rsidR="005B3785" w:rsidRPr="00563712" w:rsidRDefault="005B3785" w:rsidP="005B3785">
      <w:pPr>
        <w:spacing w:after="0" w:line="480" w:lineRule="auto"/>
        <w:rPr>
          <w:rFonts w:ascii="Times New Roman" w:hAnsi="Times New Roman"/>
          <w:lang w:val="en-GB"/>
        </w:rPr>
      </w:pPr>
    </w:p>
    <w:p w14:paraId="3C51F112" w14:textId="77777777" w:rsidR="00B616F1" w:rsidRPr="00563712" w:rsidRDefault="00B616F1" w:rsidP="005B3785">
      <w:pPr>
        <w:spacing w:after="0" w:line="480" w:lineRule="auto"/>
        <w:rPr>
          <w:rFonts w:ascii="Times New Roman" w:hAnsi="Times New Roman"/>
          <w:lang w:val="en-GB"/>
        </w:rPr>
      </w:pPr>
      <w:r w:rsidRPr="00563712">
        <w:rPr>
          <w:rFonts w:ascii="Times New Roman" w:hAnsi="Times New Roman"/>
          <w:lang w:val="en-GB"/>
        </w:rPr>
        <w:t xml:space="preserve">According to Rosanvallon, the model has three consequences (2013, </w:t>
      </w:r>
      <w:r w:rsidR="007F14E7" w:rsidRPr="00563712">
        <w:rPr>
          <w:rFonts w:ascii="Times New Roman" w:hAnsi="Times New Roman"/>
          <w:lang w:val="en-GB"/>
        </w:rPr>
        <w:t>p. </w:t>
      </w:r>
      <w:r w:rsidRPr="00563712">
        <w:rPr>
          <w:rFonts w:ascii="Times New Roman" w:hAnsi="Times New Roman"/>
          <w:lang w:val="en-GB"/>
        </w:rPr>
        <w:t xml:space="preserve">303-304): </w:t>
      </w:r>
    </w:p>
    <w:p w14:paraId="2E9A140F" w14:textId="77777777" w:rsidR="005B3785" w:rsidRPr="00563712" w:rsidRDefault="005B3785" w:rsidP="005B3785">
      <w:pPr>
        <w:spacing w:after="0" w:line="480" w:lineRule="auto"/>
        <w:rPr>
          <w:rFonts w:ascii="Times New Roman" w:hAnsi="Times New Roman"/>
          <w:lang w:val="en-GB"/>
        </w:rPr>
      </w:pPr>
    </w:p>
    <w:p w14:paraId="68005917" w14:textId="77777777" w:rsidR="00B616F1" w:rsidRPr="00563712" w:rsidRDefault="00B616F1" w:rsidP="005B3785">
      <w:pPr>
        <w:spacing w:after="0" w:line="480" w:lineRule="auto"/>
        <w:rPr>
          <w:rFonts w:ascii="Times New Roman" w:hAnsi="Times New Roman"/>
          <w:lang w:val="en-GB"/>
        </w:rPr>
      </w:pPr>
      <w:r w:rsidRPr="00563712">
        <w:rPr>
          <w:rFonts w:ascii="Times New Roman" w:hAnsi="Times New Roman"/>
          <w:lang w:val="en-GB"/>
        </w:rPr>
        <w:lastRenderedPageBreak/>
        <w:t xml:space="preserve">Firstly, the idea of equality of chances delegitimizes instruments that rearrange economic possessions such as taxes, social insurances and social benefits. Thus, unsuccessful individuals are interpreted as responsible for their lack of success and income (blaming the victim), while at the same time non-meritocratic, structural effects and exclusions from labour markets or respected societal positions become invisible. </w:t>
      </w:r>
    </w:p>
    <w:p w14:paraId="7066B8CB" w14:textId="77777777" w:rsidR="00B616F1" w:rsidRPr="00563712" w:rsidRDefault="00B616F1" w:rsidP="005B3785">
      <w:pPr>
        <w:spacing w:after="0" w:line="480" w:lineRule="auto"/>
        <w:rPr>
          <w:rFonts w:ascii="Times New Roman" w:hAnsi="Times New Roman"/>
          <w:lang w:val="en-GB"/>
        </w:rPr>
      </w:pPr>
    </w:p>
    <w:p w14:paraId="2FCC4419" w14:textId="77777777" w:rsidR="00B616F1" w:rsidRPr="00563712" w:rsidRDefault="00B616F1" w:rsidP="005B3785">
      <w:pPr>
        <w:spacing w:after="0" w:line="480" w:lineRule="auto"/>
        <w:rPr>
          <w:rFonts w:ascii="Times New Roman" w:hAnsi="Times New Roman"/>
          <w:lang w:val="en-GB"/>
        </w:rPr>
      </w:pPr>
      <w:r w:rsidRPr="00563712">
        <w:rPr>
          <w:rFonts w:ascii="Times New Roman" w:hAnsi="Times New Roman"/>
          <w:lang w:val="en-GB"/>
        </w:rPr>
        <w:t>Secondly, the idea of equality of chances has no upper limit for an annual income that can legitimately be received because of high performance. This may even lead to accepting spectacular forms of income, as long as it is taken for granted that the income relates to individual performance (Rosanvallon</w:t>
      </w:r>
      <w:r w:rsidR="007F14E7" w:rsidRPr="00563712">
        <w:rPr>
          <w:rFonts w:ascii="Times New Roman" w:hAnsi="Times New Roman"/>
          <w:lang w:val="en-GB"/>
        </w:rPr>
        <w:t>,</w:t>
      </w:r>
      <w:r w:rsidRPr="00563712">
        <w:rPr>
          <w:rFonts w:ascii="Times New Roman" w:hAnsi="Times New Roman"/>
          <w:lang w:val="en-GB"/>
        </w:rPr>
        <w:t xml:space="preserve"> 2013, p</w:t>
      </w:r>
      <w:r w:rsidR="007F14E7" w:rsidRPr="00563712">
        <w:rPr>
          <w:rFonts w:ascii="Times New Roman" w:hAnsi="Times New Roman"/>
          <w:lang w:val="en-GB"/>
        </w:rPr>
        <w:t>. </w:t>
      </w:r>
      <w:r w:rsidRPr="00563712">
        <w:rPr>
          <w:rFonts w:ascii="Times New Roman" w:hAnsi="Times New Roman"/>
          <w:lang w:val="en-GB"/>
        </w:rPr>
        <w:t>304). Even CEO incomes that sometimes exceed more than two hundred times the income of an average employee (cf. Economic Policy Institute</w:t>
      </w:r>
      <w:r w:rsidR="007F14E7" w:rsidRPr="00563712">
        <w:rPr>
          <w:rFonts w:ascii="Times New Roman" w:hAnsi="Times New Roman"/>
          <w:lang w:val="en-GB"/>
        </w:rPr>
        <w:t>,</w:t>
      </w:r>
      <w:r w:rsidRPr="00563712">
        <w:rPr>
          <w:rFonts w:ascii="Times New Roman" w:hAnsi="Times New Roman"/>
          <w:lang w:val="en-GB"/>
        </w:rPr>
        <w:t xml:space="preserve"> 2015)</w:t>
      </w:r>
      <w:r w:rsidRPr="00563712">
        <w:rPr>
          <w:rStyle w:val="Slutnotsreferens"/>
          <w:rFonts w:ascii="Times New Roman" w:hAnsi="Times New Roman"/>
          <w:lang w:val="en-GB"/>
        </w:rPr>
        <w:endnoteReference w:id="6"/>
      </w:r>
      <w:r w:rsidRPr="00563712">
        <w:rPr>
          <w:rFonts w:ascii="Times New Roman" w:hAnsi="Times New Roman"/>
          <w:lang w:val="en-GB"/>
        </w:rPr>
        <w:t xml:space="preserve"> seem to be legitimate in this narrative. </w:t>
      </w:r>
    </w:p>
    <w:p w14:paraId="4A5D52C4" w14:textId="77777777" w:rsidR="00B616F1" w:rsidRPr="00563712" w:rsidRDefault="00B616F1" w:rsidP="005B3785">
      <w:pPr>
        <w:spacing w:after="0" w:line="480" w:lineRule="auto"/>
        <w:rPr>
          <w:rFonts w:ascii="Times New Roman" w:hAnsi="Times New Roman"/>
          <w:lang w:val="en-GB"/>
        </w:rPr>
      </w:pPr>
    </w:p>
    <w:p w14:paraId="793D0151" w14:textId="77777777" w:rsidR="00B616F1" w:rsidRPr="00563712" w:rsidRDefault="00B616F1" w:rsidP="005B3785">
      <w:pPr>
        <w:spacing w:after="0" w:line="480" w:lineRule="auto"/>
        <w:rPr>
          <w:rFonts w:ascii="Times New Roman" w:hAnsi="Times New Roman"/>
          <w:lang w:val="en-GB"/>
        </w:rPr>
      </w:pPr>
      <w:r w:rsidRPr="00563712">
        <w:rPr>
          <w:rFonts w:ascii="Times New Roman" w:hAnsi="Times New Roman"/>
          <w:lang w:val="en-GB"/>
        </w:rPr>
        <w:t>The third aspect is the lower limit of what people need to be able to live in a society. Charity and humanity become the legitimation of defining the minimum social benefit, but not solidarity among members of a states’ population (</w:t>
      </w:r>
      <w:r w:rsidR="00C52E91" w:rsidRPr="00563712">
        <w:rPr>
          <w:rFonts w:ascii="Times New Roman" w:hAnsi="Times New Roman"/>
          <w:lang w:val="en-GB"/>
        </w:rPr>
        <w:t>ib</w:t>
      </w:r>
      <w:r w:rsidRPr="00563712">
        <w:rPr>
          <w:rFonts w:ascii="Times New Roman" w:hAnsi="Times New Roman"/>
          <w:lang w:val="en-GB"/>
        </w:rPr>
        <w:t>.</w:t>
      </w:r>
      <w:r w:rsidR="00C52E91" w:rsidRPr="00563712">
        <w:rPr>
          <w:rFonts w:ascii="Times New Roman" w:hAnsi="Times New Roman"/>
          <w:lang w:val="en-GB"/>
        </w:rPr>
        <w:t>, p</w:t>
      </w:r>
      <w:r w:rsidRPr="00563712">
        <w:rPr>
          <w:rFonts w:ascii="Times New Roman" w:hAnsi="Times New Roman"/>
          <w:lang w:val="en-GB"/>
        </w:rPr>
        <w:t>.</w:t>
      </w:r>
      <w:r w:rsidR="00C52E91" w:rsidRPr="00563712">
        <w:rPr>
          <w:rFonts w:ascii="Times New Roman" w:hAnsi="Times New Roman"/>
          <w:lang w:val="en-GB"/>
        </w:rPr>
        <w:t> </w:t>
      </w:r>
      <w:r w:rsidRPr="00563712">
        <w:rPr>
          <w:rFonts w:ascii="Times New Roman" w:hAnsi="Times New Roman"/>
          <w:lang w:val="en-GB"/>
        </w:rPr>
        <w:t xml:space="preserve">304). This also means that social benefits can always be lowered or cut – and those who receive them feel ashamed about their status. Andrea Liesner, a Hamburg-based educational researcher, quotes Stéphane Hessel (Indignez-vous!) and states that average indignation in Germany is not focused on the </w:t>
      </w:r>
      <w:r w:rsidRPr="00563712">
        <w:rPr>
          <w:rFonts w:ascii="Times New Roman" w:hAnsi="Times New Roman"/>
          <w:i/>
          <w:lang w:val="en-GB"/>
        </w:rPr>
        <w:t>cutting</w:t>
      </w:r>
      <w:r w:rsidRPr="00563712">
        <w:rPr>
          <w:rFonts w:ascii="Times New Roman" w:hAnsi="Times New Roman"/>
          <w:lang w:val="en-GB"/>
        </w:rPr>
        <w:t xml:space="preserve"> of social benefits, but the fact that some social benefits still remain, stating benefits would lead to passivity and lack of discipline amongst those who receive them (Liesner</w:t>
      </w:r>
      <w:r w:rsidR="00C52E91" w:rsidRPr="00563712">
        <w:rPr>
          <w:rFonts w:ascii="Times New Roman" w:hAnsi="Times New Roman"/>
          <w:lang w:val="en-GB"/>
        </w:rPr>
        <w:t>,</w:t>
      </w:r>
      <w:r w:rsidRPr="00563712">
        <w:rPr>
          <w:rFonts w:ascii="Times New Roman" w:hAnsi="Times New Roman"/>
          <w:lang w:val="en-GB"/>
        </w:rPr>
        <w:t xml:space="preserve"> 2012, p</w:t>
      </w:r>
      <w:r w:rsidR="00C52E91" w:rsidRPr="00563712">
        <w:rPr>
          <w:rFonts w:ascii="Times New Roman" w:hAnsi="Times New Roman"/>
          <w:lang w:val="en-GB"/>
        </w:rPr>
        <w:t>. </w:t>
      </w:r>
      <w:r w:rsidRPr="00563712">
        <w:rPr>
          <w:rFonts w:ascii="Times New Roman" w:hAnsi="Times New Roman"/>
          <w:lang w:val="en-GB"/>
        </w:rPr>
        <w:t>59).</w:t>
      </w:r>
    </w:p>
    <w:p w14:paraId="346871A5" w14:textId="77777777" w:rsidR="00B616F1" w:rsidRPr="00563712" w:rsidRDefault="00B616F1" w:rsidP="005B3785">
      <w:pPr>
        <w:spacing w:after="0" w:line="480" w:lineRule="auto"/>
        <w:rPr>
          <w:rFonts w:ascii="Times New Roman" w:hAnsi="Times New Roman"/>
          <w:lang w:val="en-GB"/>
        </w:rPr>
      </w:pPr>
    </w:p>
    <w:p w14:paraId="25DC8C1A" w14:textId="77777777" w:rsidR="00B616F1" w:rsidRPr="00563712" w:rsidRDefault="00B616F1" w:rsidP="005B3785">
      <w:pPr>
        <w:spacing w:after="0" w:line="480" w:lineRule="auto"/>
        <w:rPr>
          <w:rFonts w:ascii="Times New Roman" w:hAnsi="Times New Roman"/>
          <w:lang w:val="en-GB"/>
        </w:rPr>
      </w:pPr>
      <w:r w:rsidRPr="00563712">
        <w:rPr>
          <w:rFonts w:ascii="Times New Roman" w:hAnsi="Times New Roman"/>
          <w:lang w:val="en-GB"/>
        </w:rPr>
        <w:t>Equality of chances is an idea and a narrative, but the real distributions follow many other aspects, like family background and social heritage.</w:t>
      </w:r>
      <w:r w:rsidRPr="00563712">
        <w:rPr>
          <w:rStyle w:val="Slutnotsreferens"/>
          <w:rFonts w:ascii="Times New Roman" w:hAnsi="Times New Roman"/>
          <w:lang w:val="en-GB"/>
        </w:rPr>
        <w:endnoteReference w:id="7"/>
      </w:r>
      <w:r w:rsidRPr="00563712">
        <w:rPr>
          <w:rFonts w:ascii="Times New Roman" w:hAnsi="Times New Roman"/>
          <w:lang w:val="en-GB"/>
        </w:rPr>
        <w:t xml:space="preserve"> The consequences of this non-fulfilment of the narrative lead to </w:t>
      </w:r>
      <w:r w:rsidRPr="00563712">
        <w:rPr>
          <w:rFonts w:ascii="Times New Roman" w:hAnsi="Times New Roman"/>
          <w:i/>
          <w:lang w:val="en-GB"/>
        </w:rPr>
        <w:t>dismissed reciprocity</w:t>
      </w:r>
      <w:r w:rsidRPr="00563712">
        <w:rPr>
          <w:rFonts w:ascii="Times New Roman" w:hAnsi="Times New Roman"/>
          <w:lang w:val="en-GB"/>
        </w:rPr>
        <w:t xml:space="preserve"> (2013, p</w:t>
      </w:r>
      <w:r w:rsidR="00C52E91" w:rsidRPr="00563712">
        <w:rPr>
          <w:rFonts w:ascii="Times New Roman" w:hAnsi="Times New Roman"/>
          <w:lang w:val="en-GB"/>
        </w:rPr>
        <w:t>. </w:t>
      </w:r>
      <w:r w:rsidRPr="00563712">
        <w:rPr>
          <w:rFonts w:ascii="Times New Roman" w:hAnsi="Times New Roman"/>
          <w:lang w:val="en-GB"/>
        </w:rPr>
        <w:t xml:space="preserve">325), which I will understand here as </w:t>
      </w:r>
      <w:r w:rsidRPr="00563712">
        <w:rPr>
          <w:rFonts w:ascii="Times New Roman" w:hAnsi="Times New Roman"/>
          <w:i/>
          <w:lang w:val="en-GB"/>
        </w:rPr>
        <w:lastRenderedPageBreak/>
        <w:t>disengagement from solidarity</w:t>
      </w:r>
      <w:r w:rsidRPr="00563712">
        <w:rPr>
          <w:rFonts w:ascii="Times New Roman" w:hAnsi="Times New Roman"/>
          <w:lang w:val="en-GB"/>
        </w:rPr>
        <w:t>.</w:t>
      </w:r>
      <w:r w:rsidR="005148CE" w:rsidRPr="00563712">
        <w:rPr>
          <w:rFonts w:ascii="Times New Roman" w:hAnsi="Times New Roman"/>
          <w:lang w:val="en-GB"/>
        </w:rPr>
        <w:t xml:space="preserve"> </w:t>
      </w:r>
      <w:r w:rsidR="005148CE" w:rsidRPr="00563712">
        <w:rPr>
          <w:rFonts w:ascii="Times New Roman" w:hAnsi="Times New Roman"/>
          <w:szCs w:val="24"/>
          <w:lang w:val="en-US"/>
        </w:rPr>
        <w:t>Reciprocity is part of a larger theory of equality in Rosanvallon’s approach. The three parts of a theory of equality consist of singularity, reciprocity and communality which he suggests for a better legitimation of the distribution of income. But as this paper does not use the complete sociological theory of Rosanvallon, the other aspects are not discussed here.</w:t>
      </w:r>
      <w:r w:rsidRPr="00563712">
        <w:rPr>
          <w:rFonts w:ascii="Times New Roman" w:hAnsi="Times New Roman"/>
          <w:lang w:val="en-GB"/>
        </w:rPr>
        <w:t xml:space="preserve"> </w:t>
      </w:r>
    </w:p>
    <w:p w14:paraId="18F78E06" w14:textId="77777777" w:rsidR="005B3785" w:rsidRPr="00563712" w:rsidRDefault="005B3785" w:rsidP="005B3785">
      <w:pPr>
        <w:spacing w:after="0" w:line="480" w:lineRule="auto"/>
        <w:rPr>
          <w:rFonts w:ascii="Times New Roman" w:hAnsi="Times New Roman"/>
          <w:lang w:val="en-GB"/>
        </w:rPr>
      </w:pPr>
    </w:p>
    <w:p w14:paraId="6C104814" w14:textId="77777777" w:rsidR="00B616F1" w:rsidRPr="00563712" w:rsidRDefault="00B616F1" w:rsidP="005B3785">
      <w:pPr>
        <w:spacing w:after="0" w:line="480" w:lineRule="auto"/>
        <w:rPr>
          <w:rFonts w:ascii="Times New Roman" w:hAnsi="Times New Roman"/>
          <w:lang w:val="en-GB"/>
        </w:rPr>
      </w:pPr>
      <w:r w:rsidRPr="00563712">
        <w:rPr>
          <w:rFonts w:ascii="Times New Roman" w:hAnsi="Times New Roman"/>
          <w:lang w:val="en-GB"/>
        </w:rPr>
        <w:t xml:space="preserve">The reason for this disengagement is – according to Rosanvallon – the assumption that balanced participation on the one hand and the common refusal of free-riding are no longer the moral bases of the majority in contemporary societies. In exaggerated terms, upper, middle and lower classes would each have their own reasons to disengage by thinking the others do not show solidarity anymore: </w:t>
      </w:r>
    </w:p>
    <w:p w14:paraId="47AA278B" w14:textId="77777777" w:rsidR="00B616F1" w:rsidRPr="00563712" w:rsidRDefault="00B616F1" w:rsidP="005B3785">
      <w:pPr>
        <w:spacing w:after="0" w:line="480" w:lineRule="auto"/>
        <w:rPr>
          <w:rFonts w:ascii="Times New Roman" w:hAnsi="Times New Roman"/>
          <w:lang w:val="en-GB"/>
        </w:rPr>
      </w:pPr>
    </w:p>
    <w:p w14:paraId="65BBD822" w14:textId="77777777" w:rsidR="00B616F1" w:rsidRPr="00563712" w:rsidRDefault="00B616F1" w:rsidP="005B3785">
      <w:pPr>
        <w:pStyle w:val="Liststycke"/>
        <w:numPr>
          <w:ilvl w:val="0"/>
          <w:numId w:val="14"/>
        </w:numPr>
        <w:spacing w:after="0" w:line="480" w:lineRule="auto"/>
        <w:rPr>
          <w:rFonts w:ascii="Times New Roman" w:hAnsi="Times New Roman"/>
          <w:lang w:val="en-GB"/>
        </w:rPr>
      </w:pPr>
      <w:r w:rsidRPr="00563712">
        <w:rPr>
          <w:rFonts w:ascii="Times New Roman" w:hAnsi="Times New Roman"/>
          <w:lang w:val="en-GB"/>
        </w:rPr>
        <w:t xml:space="preserve">Celebrities and the super rich face the temptation to quit their country and pay tax in other (cheaper) areas of the world, if they do not feel they belong to their country anymore. </w:t>
      </w:r>
    </w:p>
    <w:p w14:paraId="725F8BFB" w14:textId="77777777" w:rsidR="00B616F1" w:rsidRPr="00563712" w:rsidRDefault="00B616F1" w:rsidP="005B3785">
      <w:pPr>
        <w:pStyle w:val="Liststycke"/>
        <w:numPr>
          <w:ilvl w:val="0"/>
          <w:numId w:val="14"/>
        </w:numPr>
        <w:spacing w:after="0" w:line="480" w:lineRule="auto"/>
        <w:contextualSpacing w:val="0"/>
        <w:rPr>
          <w:rFonts w:ascii="Times New Roman" w:hAnsi="Times New Roman"/>
          <w:lang w:val="en-GB"/>
        </w:rPr>
      </w:pPr>
      <w:r w:rsidRPr="00563712">
        <w:rPr>
          <w:rFonts w:ascii="Times New Roman" w:hAnsi="Times New Roman"/>
          <w:lang w:val="en-GB"/>
        </w:rPr>
        <w:t>Recipients of benefits experience disrespect and disdain (Verhöhnung, Butterwegge</w:t>
      </w:r>
      <w:r w:rsidR="00C52E91" w:rsidRPr="00563712">
        <w:rPr>
          <w:rFonts w:ascii="Times New Roman" w:hAnsi="Times New Roman"/>
          <w:lang w:val="en-GB"/>
        </w:rPr>
        <w:t>,</w:t>
      </w:r>
      <w:r w:rsidRPr="00563712">
        <w:rPr>
          <w:rFonts w:ascii="Times New Roman" w:hAnsi="Times New Roman"/>
          <w:lang w:val="en-GB"/>
        </w:rPr>
        <w:t xml:space="preserve"> 2015) of their status, instead of receiving solidarity from others towards their social group and ask themselves whether they would do better to adapt to the stereotypes that are told about them and in fact avoid controls and become deviant. </w:t>
      </w:r>
    </w:p>
    <w:p w14:paraId="568A1125" w14:textId="77777777" w:rsidR="00B616F1" w:rsidRPr="00563712" w:rsidRDefault="00B616F1" w:rsidP="005B3785">
      <w:pPr>
        <w:pStyle w:val="Liststycke"/>
        <w:numPr>
          <w:ilvl w:val="0"/>
          <w:numId w:val="14"/>
        </w:numPr>
        <w:spacing w:after="0" w:line="480" w:lineRule="auto"/>
        <w:contextualSpacing w:val="0"/>
        <w:rPr>
          <w:rFonts w:ascii="Times New Roman" w:hAnsi="Times New Roman"/>
          <w:lang w:val="en-GB"/>
        </w:rPr>
      </w:pPr>
      <w:r w:rsidRPr="00563712">
        <w:rPr>
          <w:rFonts w:ascii="Times New Roman" w:hAnsi="Times New Roman"/>
          <w:lang w:val="en-GB"/>
        </w:rPr>
        <w:t>Middle classes wonder whether they are the only ones sticking to the rules between those who might be avoiding taxation and those they assume to receive more benefits than they should. In case middle classes then fight back, their aims are to attack political and economic elites and as well as refugees or migrants.</w:t>
      </w:r>
    </w:p>
    <w:p w14:paraId="09C0A71D" w14:textId="77777777" w:rsidR="005148CE" w:rsidRPr="00563712" w:rsidRDefault="005148CE" w:rsidP="005B3785">
      <w:pPr>
        <w:spacing w:after="0" w:line="480" w:lineRule="auto"/>
        <w:rPr>
          <w:rFonts w:ascii="Times New Roman" w:hAnsi="Times New Roman"/>
          <w:szCs w:val="24"/>
          <w:lang w:val="en-US"/>
        </w:rPr>
      </w:pPr>
      <w:r w:rsidRPr="00563712">
        <w:rPr>
          <w:rFonts w:ascii="Times New Roman" w:hAnsi="Times New Roman"/>
          <w:szCs w:val="24"/>
          <w:lang w:val="en-US"/>
        </w:rPr>
        <w:t xml:space="preserve">The political consequences of low solidarity and reciprocity may well fuel the rise of populism as Rosanvallon states: </w:t>
      </w:r>
    </w:p>
    <w:p w14:paraId="3ED7C1E0" w14:textId="77777777" w:rsidR="00B616F1" w:rsidRPr="00563712" w:rsidRDefault="005148CE" w:rsidP="005B3785">
      <w:pPr>
        <w:spacing w:after="0" w:line="480" w:lineRule="auto"/>
        <w:rPr>
          <w:rFonts w:ascii="Times New Roman" w:hAnsi="Times New Roman"/>
          <w:lang w:val="en-GB"/>
        </w:rPr>
      </w:pPr>
      <w:r w:rsidRPr="00563712">
        <w:rPr>
          <w:rFonts w:ascii="Times New Roman" w:hAnsi="Times New Roman"/>
          <w:szCs w:val="24"/>
          <w:lang w:val="en-US"/>
        </w:rPr>
        <w:lastRenderedPageBreak/>
        <w:t>"In sociological terms, the crisis of reciprocity is reflected in the malaise of the middle and working classes. Members of these groups who are employed see themselves as doubly penalized: their situations are not bad enough to receive the benefits of the welfare state, yet they are not wealthy enough to enjoy the fiscal and other advantages available to the rich. Politically, their resentment has fueled the rise of the extreme right in Europe. Extreme right-wing parties have capitalized on frustrations due to the diffuse feeling that reciprocity has broken down, directing their fire at both the privileged elite and immigrants said to be taking advantage of the taxpayers’ generosity" (Rosanvallon, 2013, p. 275).</w:t>
      </w:r>
    </w:p>
    <w:p w14:paraId="76358D02" w14:textId="77777777" w:rsidR="005148CE" w:rsidRPr="00563712" w:rsidRDefault="005148CE" w:rsidP="005B3785">
      <w:pPr>
        <w:spacing w:after="0" w:line="480" w:lineRule="auto"/>
        <w:rPr>
          <w:rFonts w:ascii="Times New Roman" w:hAnsi="Times New Roman"/>
          <w:lang w:val="en-GB"/>
        </w:rPr>
      </w:pPr>
    </w:p>
    <w:p w14:paraId="7F6F6F5F" w14:textId="77777777" w:rsidR="00B616F1" w:rsidRPr="00563712" w:rsidRDefault="00B616F1" w:rsidP="005B3785">
      <w:pPr>
        <w:spacing w:after="0" w:line="480" w:lineRule="auto"/>
        <w:rPr>
          <w:rFonts w:ascii="Times New Roman" w:hAnsi="Times New Roman"/>
          <w:lang w:val="en-GB"/>
        </w:rPr>
      </w:pPr>
      <w:r w:rsidRPr="00563712">
        <w:rPr>
          <w:rFonts w:ascii="Times New Roman" w:hAnsi="Times New Roman"/>
          <w:lang w:val="en-GB"/>
        </w:rPr>
        <w:t xml:space="preserve">This </w:t>
      </w:r>
      <w:r w:rsidR="005148CE" w:rsidRPr="00563712">
        <w:rPr>
          <w:rFonts w:ascii="Times New Roman" w:hAnsi="Times New Roman"/>
          <w:lang w:val="en-GB"/>
        </w:rPr>
        <w:t xml:space="preserve">line-up </w:t>
      </w:r>
      <w:r w:rsidRPr="00563712">
        <w:rPr>
          <w:rFonts w:ascii="Times New Roman" w:hAnsi="Times New Roman"/>
          <w:lang w:val="en-GB"/>
        </w:rPr>
        <w:t xml:space="preserve">of </w:t>
      </w:r>
      <w:r w:rsidR="005148CE" w:rsidRPr="00563712">
        <w:rPr>
          <w:rFonts w:ascii="Times New Roman" w:hAnsi="Times New Roman"/>
          <w:lang w:val="en-GB"/>
        </w:rPr>
        <w:t xml:space="preserve">three </w:t>
      </w:r>
      <w:r w:rsidRPr="00563712">
        <w:rPr>
          <w:rFonts w:ascii="Times New Roman" w:hAnsi="Times New Roman"/>
          <w:lang w:val="en-GB"/>
        </w:rPr>
        <w:t xml:space="preserve">social classes struggling with each other for solidarity and distribution of chances and economic goods </w:t>
      </w:r>
      <w:r w:rsidR="00183686" w:rsidRPr="00563712">
        <w:rPr>
          <w:rFonts w:ascii="Times New Roman" w:hAnsi="Times New Roman"/>
          <w:lang w:val="en-GB"/>
        </w:rPr>
        <w:t xml:space="preserve">(as provided by Rosanvallon) </w:t>
      </w:r>
      <w:r w:rsidRPr="00563712">
        <w:rPr>
          <w:rFonts w:ascii="Times New Roman" w:hAnsi="Times New Roman"/>
          <w:lang w:val="en-GB"/>
        </w:rPr>
        <w:t>is not yet complete. According to Jacques Rancière’s „Disagreement“</w:t>
      </w:r>
      <w:r w:rsidR="00A1171C" w:rsidRPr="00563712">
        <w:rPr>
          <w:rFonts w:ascii="Times New Roman" w:hAnsi="Times New Roman"/>
          <w:lang w:val="en-GB"/>
        </w:rPr>
        <w:t xml:space="preserve"> </w:t>
      </w:r>
      <w:r w:rsidRPr="00563712">
        <w:rPr>
          <w:rFonts w:ascii="Times New Roman" w:hAnsi="Times New Roman"/>
          <w:lang w:val="en-GB"/>
        </w:rPr>
        <w:t>(Rancière</w:t>
      </w:r>
      <w:r w:rsidR="00C52E91" w:rsidRPr="00563712">
        <w:rPr>
          <w:rFonts w:ascii="Times New Roman" w:hAnsi="Times New Roman"/>
          <w:lang w:val="en-GB"/>
        </w:rPr>
        <w:t>,</w:t>
      </w:r>
      <w:r w:rsidRPr="00563712">
        <w:rPr>
          <w:rFonts w:ascii="Times New Roman" w:hAnsi="Times New Roman"/>
          <w:lang w:val="en-GB"/>
        </w:rPr>
        <w:t> 2002), there are always groups that do not even have the opportunity to negotiate, as they are not recognized as members of society. Rancière points at the fact that politics does not happen among those who sit at the table, but only when poor (2002, p</w:t>
      </w:r>
      <w:r w:rsidR="00C52E91" w:rsidRPr="00563712">
        <w:rPr>
          <w:rFonts w:ascii="Times New Roman" w:hAnsi="Times New Roman"/>
          <w:lang w:val="en-GB"/>
        </w:rPr>
        <w:t>. </w:t>
      </w:r>
      <w:r w:rsidRPr="00563712">
        <w:rPr>
          <w:rFonts w:ascii="Times New Roman" w:hAnsi="Times New Roman"/>
          <w:lang w:val="en-GB"/>
        </w:rPr>
        <w:t>26), illegitimate groups start claiming their rights. He states that it is especially the poor who benefit from politics (whether precarious workers, benefit recipients, teenage parents, workers in monotonous jobs or retired people who cannot live from their pension alone).</w:t>
      </w:r>
    </w:p>
    <w:p w14:paraId="71109435" w14:textId="77777777" w:rsidR="00B616F1" w:rsidRPr="00563712" w:rsidRDefault="00B616F1" w:rsidP="005B3785">
      <w:pPr>
        <w:spacing w:after="0" w:line="480" w:lineRule="auto"/>
        <w:rPr>
          <w:rFonts w:ascii="Times New Roman" w:hAnsi="Times New Roman"/>
          <w:lang w:val="en-GB"/>
        </w:rPr>
      </w:pPr>
    </w:p>
    <w:p w14:paraId="2412A978" w14:textId="77777777" w:rsidR="00B616F1" w:rsidRPr="00563712" w:rsidRDefault="00B616F1" w:rsidP="005B3785">
      <w:pPr>
        <w:spacing w:after="0" w:line="480" w:lineRule="auto"/>
        <w:rPr>
          <w:rFonts w:ascii="Times New Roman" w:hAnsi="Times New Roman"/>
          <w:lang w:val="en-GB"/>
        </w:rPr>
      </w:pPr>
      <w:r w:rsidRPr="00563712">
        <w:rPr>
          <w:rFonts w:ascii="Times New Roman" w:hAnsi="Times New Roman"/>
          <w:lang w:val="en-US"/>
        </w:rPr>
        <w:t xml:space="preserve">Rancière concludes that this is why poverty has been denied by dominant, prevailing groups for centuries </w:t>
      </w:r>
      <w:r w:rsidRPr="00563712">
        <w:rPr>
          <w:rFonts w:ascii="Times New Roman" w:hAnsi="Times New Roman"/>
          <w:lang w:val="en-GB"/>
        </w:rPr>
        <w:t>(2002, p</w:t>
      </w:r>
      <w:r w:rsidR="00C52E91" w:rsidRPr="00563712">
        <w:rPr>
          <w:rFonts w:ascii="Times New Roman" w:hAnsi="Times New Roman"/>
          <w:lang w:val="en-GB"/>
        </w:rPr>
        <w:t>. </w:t>
      </w:r>
      <w:r w:rsidRPr="00563712">
        <w:rPr>
          <w:rFonts w:ascii="Times New Roman" w:hAnsi="Times New Roman"/>
          <w:lang w:val="en-GB"/>
        </w:rPr>
        <w:t xml:space="preserve">27). </w:t>
      </w:r>
      <w:r w:rsidRPr="00563712">
        <w:rPr>
          <w:rFonts w:ascii="Times New Roman" w:hAnsi="Times New Roman"/>
          <w:lang w:val="en-US"/>
        </w:rPr>
        <w:t>Politics start to happen when the part that has no part (</w:t>
      </w:r>
      <w:r w:rsidRPr="00563712">
        <w:rPr>
          <w:rFonts w:ascii="Times New Roman" w:hAnsi="Times New Roman"/>
          <w:i/>
          <w:lang w:val="en-US"/>
        </w:rPr>
        <w:t xml:space="preserve">Anteil der Anteillosen) </w:t>
      </w:r>
      <w:r w:rsidRPr="00563712">
        <w:rPr>
          <w:rFonts w:ascii="Times New Roman" w:hAnsi="Times New Roman"/>
          <w:lang w:val="en-US"/>
        </w:rPr>
        <w:t>finds their names and language, claims their part</w:t>
      </w:r>
      <w:r w:rsidRPr="00563712">
        <w:rPr>
          <w:rStyle w:val="Slutnotsreferens"/>
          <w:rFonts w:ascii="Times New Roman" w:hAnsi="Times New Roman"/>
          <w:szCs w:val="24"/>
          <w:lang w:val="en-GB"/>
        </w:rPr>
        <w:endnoteReference w:id="8"/>
      </w:r>
      <w:r w:rsidRPr="00563712">
        <w:rPr>
          <w:rFonts w:ascii="Times New Roman" w:hAnsi="Times New Roman"/>
          <w:lang w:val="en-GB"/>
        </w:rPr>
        <w:t xml:space="preserve"> and step by step gets recognized as a legitimate part of society and solidarity. </w:t>
      </w:r>
    </w:p>
    <w:p w14:paraId="7AFC2FF1" w14:textId="77777777" w:rsidR="005B3785" w:rsidRPr="00563712" w:rsidRDefault="005B3785" w:rsidP="005B3785">
      <w:pPr>
        <w:spacing w:after="0" w:line="480" w:lineRule="auto"/>
        <w:rPr>
          <w:rFonts w:ascii="Times New Roman" w:hAnsi="Times New Roman"/>
          <w:lang w:val="en-GB"/>
        </w:rPr>
      </w:pPr>
    </w:p>
    <w:p w14:paraId="37C8181A" w14:textId="77777777" w:rsidR="00B616F1" w:rsidRPr="00563712" w:rsidRDefault="00B616F1" w:rsidP="005B3785">
      <w:pPr>
        <w:spacing w:after="0" w:line="480" w:lineRule="auto"/>
        <w:rPr>
          <w:rFonts w:ascii="Times New Roman" w:hAnsi="Times New Roman"/>
          <w:lang w:val="en-GB"/>
        </w:rPr>
      </w:pPr>
      <w:r w:rsidRPr="00563712">
        <w:rPr>
          <w:rFonts w:ascii="Times New Roman" w:hAnsi="Times New Roman"/>
          <w:lang w:val="en-GB"/>
        </w:rPr>
        <w:t>Silke Schreiber-Barsch used this approach with regard to participation in adult education (Schreiber-Barsch</w:t>
      </w:r>
      <w:r w:rsidR="00C52E91" w:rsidRPr="00563712">
        <w:rPr>
          <w:rFonts w:ascii="Times New Roman" w:hAnsi="Times New Roman"/>
          <w:lang w:val="en-GB"/>
        </w:rPr>
        <w:t>,</w:t>
      </w:r>
      <w:r w:rsidRPr="00563712">
        <w:rPr>
          <w:rFonts w:ascii="Times New Roman" w:hAnsi="Times New Roman"/>
          <w:lang w:val="en-GB"/>
        </w:rPr>
        <w:t xml:space="preserve"> 2009), while Nora Sternfeld used it for overall educational and </w:t>
      </w:r>
      <w:r w:rsidRPr="00563712">
        <w:rPr>
          <w:rFonts w:ascii="Times New Roman" w:hAnsi="Times New Roman"/>
          <w:lang w:val="en-GB"/>
        </w:rPr>
        <w:lastRenderedPageBreak/>
        <w:t>transformative procedures (Sternfeld</w:t>
      </w:r>
      <w:r w:rsidR="00C52E91" w:rsidRPr="00563712">
        <w:rPr>
          <w:rFonts w:ascii="Times New Roman" w:hAnsi="Times New Roman"/>
          <w:lang w:val="en-GB"/>
        </w:rPr>
        <w:t>,</w:t>
      </w:r>
      <w:r w:rsidRPr="00563712">
        <w:rPr>
          <w:rFonts w:ascii="Times New Roman" w:hAnsi="Times New Roman"/>
          <w:lang w:val="en-GB"/>
        </w:rPr>
        <w:t xml:space="preserve"> 2009). </w:t>
      </w:r>
      <w:r w:rsidR="002A6251" w:rsidRPr="00563712">
        <w:rPr>
          <w:rFonts w:ascii="Times New Roman" w:hAnsi="Times New Roman"/>
          <w:lang w:val="en-GB"/>
        </w:rPr>
        <w:t>Earlier works by Rancière focus on citizenship (1992/2007) have been used by Vandenabeele, Reyskens &amp; Wildemeersch to challenge mainstream concepts of active citizenship and lifelong learning (2011, p. 193).</w:t>
      </w:r>
    </w:p>
    <w:p w14:paraId="1251787C" w14:textId="77777777" w:rsidR="005B3785" w:rsidRPr="00563712" w:rsidRDefault="005B3785" w:rsidP="005B3785">
      <w:pPr>
        <w:spacing w:after="0" w:line="480" w:lineRule="auto"/>
        <w:rPr>
          <w:rFonts w:ascii="Times New Roman" w:hAnsi="Times New Roman"/>
          <w:lang w:val="en-GB"/>
        </w:rPr>
      </w:pPr>
    </w:p>
    <w:p w14:paraId="5A87FB1F" w14:textId="77777777" w:rsidR="00B616F1" w:rsidRPr="00563712" w:rsidRDefault="00B616F1" w:rsidP="005B3785">
      <w:pPr>
        <w:spacing w:after="0" w:line="480" w:lineRule="auto"/>
        <w:rPr>
          <w:rFonts w:ascii="Times New Roman" w:hAnsi="Times New Roman"/>
          <w:lang w:val="en-GB"/>
        </w:rPr>
      </w:pPr>
      <w:r w:rsidRPr="00563712">
        <w:rPr>
          <w:rFonts w:ascii="Times New Roman" w:hAnsi="Times New Roman"/>
          <w:lang w:val="en-GB"/>
        </w:rPr>
        <w:t>A subgroup of adults that in recent times left their invisibile position in industrialized societies is the so-called group of functionally illiterates</w:t>
      </w:r>
      <w:r w:rsidRPr="00563712">
        <w:rPr>
          <w:rStyle w:val="Slutnotsreferens"/>
          <w:rFonts w:ascii="Times New Roman" w:hAnsi="Times New Roman"/>
          <w:lang w:val="en-GB"/>
        </w:rPr>
        <w:endnoteReference w:id="9"/>
      </w:r>
      <w:r w:rsidRPr="00563712">
        <w:rPr>
          <w:rFonts w:ascii="Times New Roman" w:hAnsi="Times New Roman"/>
          <w:lang w:val="en-GB"/>
        </w:rPr>
        <w:t xml:space="preserve"> or – in less stigmatising terms – adults with low literacy skills. </w:t>
      </w:r>
    </w:p>
    <w:p w14:paraId="2DB9B871" w14:textId="77777777" w:rsidR="00B616F1" w:rsidRPr="00563712" w:rsidRDefault="00B616F1" w:rsidP="005B3785">
      <w:pPr>
        <w:spacing w:after="0" w:line="480" w:lineRule="auto"/>
        <w:rPr>
          <w:rFonts w:ascii="Times New Roman" w:hAnsi="Times New Roman"/>
          <w:lang w:val="en-GB"/>
        </w:rPr>
      </w:pPr>
    </w:p>
    <w:p w14:paraId="48E59B45" w14:textId="77777777" w:rsidR="00B616F1" w:rsidRPr="00563712" w:rsidRDefault="00A1171C" w:rsidP="00A1171C">
      <w:pPr>
        <w:pStyle w:val="Rubrik1"/>
        <w:numPr>
          <w:ilvl w:val="0"/>
          <w:numId w:val="30"/>
        </w:numPr>
        <w:spacing w:before="0" w:line="480" w:lineRule="auto"/>
        <w:ind w:left="360"/>
        <w:rPr>
          <w:rFonts w:ascii="Times New Roman" w:hAnsi="Times New Roman"/>
          <w:color w:val="auto"/>
          <w:lang w:val="en-US"/>
        </w:rPr>
      </w:pPr>
      <w:bookmarkStart w:id="4" w:name="_Toc439084893"/>
      <w:bookmarkStart w:id="5" w:name="_Toc453846539"/>
      <w:r w:rsidRPr="00563712">
        <w:rPr>
          <w:rFonts w:ascii="Times New Roman" w:hAnsi="Times New Roman"/>
          <w:color w:val="auto"/>
          <w:lang w:val="en-US"/>
        </w:rPr>
        <w:t xml:space="preserve">Sociopolitical </w:t>
      </w:r>
      <w:r w:rsidR="00BC63AA" w:rsidRPr="00563712">
        <w:rPr>
          <w:rFonts w:ascii="Times New Roman" w:hAnsi="Times New Roman"/>
          <w:color w:val="auto"/>
          <w:lang w:val="en-US"/>
        </w:rPr>
        <w:t>disengagement: PIAAC v</w:t>
      </w:r>
      <w:r w:rsidR="00B616F1" w:rsidRPr="00563712">
        <w:rPr>
          <w:rFonts w:ascii="Times New Roman" w:hAnsi="Times New Roman"/>
          <w:color w:val="auto"/>
          <w:lang w:val="en-US"/>
        </w:rPr>
        <w:t xml:space="preserve">ariables </w:t>
      </w:r>
      <w:bookmarkEnd w:id="4"/>
      <w:bookmarkEnd w:id="5"/>
    </w:p>
    <w:p w14:paraId="2B828633" w14:textId="77777777" w:rsidR="005B3785" w:rsidRPr="00563712" w:rsidRDefault="005B3785" w:rsidP="005B3785">
      <w:pPr>
        <w:spacing w:after="0" w:line="480" w:lineRule="auto"/>
        <w:rPr>
          <w:rFonts w:ascii="Times New Roman" w:hAnsi="Times New Roman"/>
          <w:lang w:val="en-US"/>
        </w:rPr>
      </w:pPr>
    </w:p>
    <w:p w14:paraId="49632E17" w14:textId="77777777" w:rsidR="00B616F1" w:rsidRPr="00563712" w:rsidRDefault="00B616F1" w:rsidP="005B3785">
      <w:pPr>
        <w:spacing w:after="0" w:line="480" w:lineRule="auto"/>
        <w:rPr>
          <w:rFonts w:ascii="Times New Roman" w:hAnsi="Times New Roman"/>
          <w:lang w:val="en-US"/>
        </w:rPr>
      </w:pPr>
      <w:r w:rsidRPr="00563712">
        <w:rPr>
          <w:rFonts w:ascii="Times New Roman" w:hAnsi="Times New Roman"/>
          <w:lang w:val="en-US"/>
        </w:rPr>
        <w:t>Adults on PIAAC competence level I and below (adults with low literacy skills or low-literate adults) are the focus of national literacy strategies. To describe them and their sociopolitical engagement or disengagement, it is better to use literacy variables than formal education or socio-economic status for two reasons: First, formal education does not necessarily guarantee sufficient literacy competences throughout the adult lifespan. Second, adults without formal education can easily have a good literacy proficiency, especially in reading.</w:t>
      </w:r>
      <w:r w:rsidRPr="00563712">
        <w:rPr>
          <w:rStyle w:val="Slutnotsreferens"/>
          <w:rFonts w:ascii="Times New Roman" w:hAnsi="Times New Roman"/>
          <w:lang w:val="en-GB"/>
        </w:rPr>
        <w:endnoteReference w:id="10"/>
      </w:r>
      <w:r w:rsidRPr="00563712">
        <w:rPr>
          <w:rFonts w:ascii="Times New Roman" w:hAnsi="Times New Roman"/>
          <w:lang w:val="en-US"/>
        </w:rPr>
        <w:t xml:space="preserve"> </w:t>
      </w:r>
    </w:p>
    <w:p w14:paraId="7CEC00D8" w14:textId="77777777" w:rsidR="005B3785" w:rsidRPr="00563712" w:rsidRDefault="005B3785" w:rsidP="005B3785">
      <w:pPr>
        <w:spacing w:after="0" w:line="480" w:lineRule="auto"/>
        <w:rPr>
          <w:rFonts w:ascii="Times New Roman" w:hAnsi="Times New Roman"/>
          <w:lang w:val="en-US"/>
        </w:rPr>
      </w:pPr>
    </w:p>
    <w:p w14:paraId="04E94C2B" w14:textId="77777777" w:rsidR="00B616F1" w:rsidRPr="00563712" w:rsidRDefault="00B616F1" w:rsidP="005B3785">
      <w:pPr>
        <w:spacing w:after="0" w:line="480" w:lineRule="auto"/>
        <w:rPr>
          <w:rFonts w:ascii="Times New Roman" w:hAnsi="Times New Roman"/>
          <w:lang w:val="en-US"/>
        </w:rPr>
      </w:pPr>
      <w:r w:rsidRPr="00563712">
        <w:rPr>
          <w:rFonts w:ascii="Times New Roman" w:hAnsi="Times New Roman"/>
          <w:lang w:val="en-US"/>
        </w:rPr>
        <w:t>Thus, we use literacy (as definied in the narrow way according to international large-scale assessments like PIAAC) in order to look closer at the subpopulation which is addressed by the „Literacy Decade” (2015-2025) in Germany.</w:t>
      </w:r>
    </w:p>
    <w:p w14:paraId="051BBE1B" w14:textId="77777777" w:rsidR="00B616F1" w:rsidRPr="00563712" w:rsidRDefault="00B616F1" w:rsidP="005B3785">
      <w:pPr>
        <w:spacing w:after="0" w:line="480" w:lineRule="auto"/>
        <w:rPr>
          <w:rFonts w:ascii="Times New Roman" w:hAnsi="Times New Roman"/>
          <w:lang w:val="en-US"/>
        </w:rPr>
      </w:pPr>
    </w:p>
    <w:p w14:paraId="1458B2EE" w14:textId="77777777" w:rsidR="00B616F1" w:rsidRPr="00563712" w:rsidRDefault="00B616F1" w:rsidP="005B3785">
      <w:pPr>
        <w:spacing w:after="0" w:line="480" w:lineRule="auto"/>
        <w:rPr>
          <w:rFonts w:ascii="Times New Roman" w:hAnsi="Times New Roman"/>
          <w:lang w:val="en-US"/>
        </w:rPr>
      </w:pPr>
      <w:r w:rsidRPr="00563712">
        <w:rPr>
          <w:rFonts w:ascii="Times New Roman" w:hAnsi="Times New Roman"/>
          <w:lang w:val="en-US"/>
        </w:rPr>
        <w:t>We assume that the tendency to disengage from a solidaritarian society may be higher for low-literate adults than for high-literate adults. This is specified as:</w:t>
      </w:r>
    </w:p>
    <w:p w14:paraId="29D512E1" w14:textId="77777777" w:rsidR="00B616F1" w:rsidRPr="00563712" w:rsidRDefault="00B616F1" w:rsidP="005B3785">
      <w:pPr>
        <w:spacing w:after="0" w:line="480" w:lineRule="auto"/>
        <w:rPr>
          <w:rFonts w:ascii="Times New Roman" w:hAnsi="Times New Roman"/>
          <w:lang w:val="en-US"/>
        </w:rPr>
      </w:pPr>
    </w:p>
    <w:p w14:paraId="6E4200FA" w14:textId="77777777" w:rsidR="00B616F1" w:rsidRPr="00563712" w:rsidRDefault="00B616F1" w:rsidP="005B3785">
      <w:pPr>
        <w:spacing w:after="0" w:line="480" w:lineRule="auto"/>
        <w:rPr>
          <w:rFonts w:ascii="Times New Roman" w:hAnsi="Times New Roman"/>
          <w:lang w:val="en-US"/>
        </w:rPr>
      </w:pPr>
      <w:r w:rsidRPr="00563712">
        <w:rPr>
          <w:rFonts w:ascii="Times New Roman" w:hAnsi="Times New Roman"/>
          <w:lang w:val="en-US"/>
        </w:rPr>
        <w:t xml:space="preserve">(1) low feelings of „political efficacy“ </w:t>
      </w:r>
    </w:p>
    <w:p w14:paraId="752C5C58" w14:textId="77777777" w:rsidR="00B616F1" w:rsidRPr="00563712" w:rsidRDefault="00B616F1" w:rsidP="005B3785">
      <w:pPr>
        <w:spacing w:after="0" w:line="480" w:lineRule="auto"/>
        <w:rPr>
          <w:rFonts w:ascii="Times New Roman" w:hAnsi="Times New Roman"/>
          <w:lang w:val="en-US"/>
        </w:rPr>
      </w:pPr>
      <w:r w:rsidRPr="00563712">
        <w:rPr>
          <w:rFonts w:ascii="Times New Roman" w:hAnsi="Times New Roman"/>
          <w:lang w:val="en-US"/>
        </w:rPr>
        <w:t>(2) low expression of „social trust“ and therefore</w:t>
      </w:r>
    </w:p>
    <w:p w14:paraId="41DFA0F7" w14:textId="77777777" w:rsidR="00B616F1" w:rsidRPr="00563712" w:rsidRDefault="00B616F1" w:rsidP="005B3785">
      <w:pPr>
        <w:spacing w:after="0" w:line="480" w:lineRule="auto"/>
        <w:rPr>
          <w:rFonts w:ascii="Times New Roman" w:hAnsi="Times New Roman"/>
          <w:lang w:val="en-US"/>
        </w:rPr>
      </w:pPr>
      <w:r w:rsidRPr="00563712">
        <w:rPr>
          <w:rFonts w:ascii="Times New Roman" w:hAnsi="Times New Roman"/>
          <w:lang w:val="en-US"/>
        </w:rPr>
        <w:lastRenderedPageBreak/>
        <w:t>(3) less voluntary work than high-literate groups.</w:t>
      </w:r>
    </w:p>
    <w:p w14:paraId="3B2F0D74" w14:textId="77777777" w:rsidR="00B616F1" w:rsidRPr="00563712" w:rsidRDefault="00B616F1" w:rsidP="005B3785">
      <w:pPr>
        <w:spacing w:after="0" w:line="480" w:lineRule="auto"/>
        <w:rPr>
          <w:rFonts w:ascii="Times New Roman" w:hAnsi="Times New Roman"/>
          <w:lang w:val="en-US"/>
        </w:rPr>
      </w:pPr>
      <w:r w:rsidRPr="00563712">
        <w:rPr>
          <w:rFonts w:ascii="Times New Roman" w:hAnsi="Times New Roman"/>
          <w:lang w:val="en-US"/>
        </w:rPr>
        <w:t xml:space="preserve"> </w:t>
      </w:r>
    </w:p>
    <w:p w14:paraId="1724004C" w14:textId="77777777" w:rsidR="00B616F1" w:rsidRPr="00563712" w:rsidRDefault="00B616F1" w:rsidP="005B3785">
      <w:pPr>
        <w:spacing w:after="0" w:line="480" w:lineRule="auto"/>
        <w:rPr>
          <w:rFonts w:ascii="Times New Roman" w:hAnsi="Times New Roman"/>
          <w:lang w:val="en-US"/>
        </w:rPr>
      </w:pPr>
      <w:r w:rsidRPr="00563712">
        <w:rPr>
          <w:rFonts w:ascii="Times New Roman" w:hAnsi="Times New Roman"/>
          <w:lang w:val="en-US"/>
        </w:rPr>
        <w:t xml:space="preserve">All three aspects (political and social engagement or disengagement and consequently high or low readiness for volunteering) operationalize the theories discussed above. But we do not focus on lower, middle or upper classes: This article focuses on literacy, not class (even if both correlate). </w:t>
      </w:r>
    </w:p>
    <w:p w14:paraId="5B2C1F53" w14:textId="77777777" w:rsidR="005B3785" w:rsidRPr="00563712" w:rsidRDefault="005B3785" w:rsidP="005B3785">
      <w:pPr>
        <w:spacing w:after="0" w:line="480" w:lineRule="auto"/>
        <w:rPr>
          <w:rFonts w:ascii="Times New Roman" w:hAnsi="Times New Roman"/>
          <w:lang w:val="en-US"/>
        </w:rPr>
      </w:pPr>
    </w:p>
    <w:p w14:paraId="46BAAA70" w14:textId="77777777" w:rsidR="00B616F1" w:rsidRPr="00563712" w:rsidRDefault="00B616F1" w:rsidP="005B3785">
      <w:pPr>
        <w:spacing w:after="0" w:line="480" w:lineRule="auto"/>
        <w:rPr>
          <w:rFonts w:ascii="Times New Roman" w:hAnsi="Times New Roman"/>
          <w:lang w:val="en-US"/>
        </w:rPr>
      </w:pPr>
      <w:r w:rsidRPr="00563712">
        <w:rPr>
          <w:rFonts w:ascii="Times New Roman" w:hAnsi="Times New Roman"/>
          <w:lang w:val="en-US"/>
        </w:rPr>
        <w:t>The variables used in PIAAC need some specification. PIAAC is an economic survey based on human-capital and rational-choice theories. The latter seem to be the theoretical base to the variables political efficacy and social trust, even if the theoretical framework only mentions very few aspects of the theoretical discussion underlying the variables.</w:t>
      </w:r>
      <w:r w:rsidRPr="00563712">
        <w:rPr>
          <w:rStyle w:val="Slutnotsreferens"/>
          <w:rFonts w:ascii="Times New Roman" w:hAnsi="Times New Roman"/>
          <w:szCs w:val="24"/>
          <w:lang w:val="en-GB"/>
        </w:rPr>
        <w:endnoteReference w:id="11"/>
      </w:r>
      <w:r w:rsidRPr="00563712">
        <w:rPr>
          <w:rFonts w:ascii="Times New Roman" w:hAnsi="Times New Roman"/>
          <w:szCs w:val="24"/>
          <w:lang w:val="en-US"/>
        </w:rPr>
        <w:t xml:space="preserve"> Literacy and Education is said to predict economic outcomes as well as wider benefits on all sections of life</w:t>
      </w:r>
      <w:r w:rsidRPr="00563712">
        <w:rPr>
          <w:rFonts w:ascii="Times New Roman" w:hAnsi="Times New Roman"/>
          <w:lang w:val="en-US"/>
        </w:rPr>
        <w:t>:</w:t>
      </w:r>
    </w:p>
    <w:p w14:paraId="02296B20" w14:textId="77777777" w:rsidR="00B616F1" w:rsidRPr="00563712" w:rsidRDefault="00B616F1" w:rsidP="005B3785">
      <w:pPr>
        <w:autoSpaceDE w:val="0"/>
        <w:autoSpaceDN w:val="0"/>
        <w:adjustRightInd w:val="0"/>
        <w:spacing w:after="0" w:line="480" w:lineRule="auto"/>
        <w:ind w:left="708"/>
        <w:rPr>
          <w:rFonts w:ascii="Times New Roman" w:hAnsi="Times New Roman"/>
          <w:lang w:val="en-US"/>
        </w:rPr>
      </w:pPr>
    </w:p>
    <w:p w14:paraId="09FF5556" w14:textId="77777777" w:rsidR="00B616F1" w:rsidRPr="00563712" w:rsidRDefault="00B616F1" w:rsidP="005B3785">
      <w:pPr>
        <w:autoSpaceDE w:val="0"/>
        <w:autoSpaceDN w:val="0"/>
        <w:adjustRightInd w:val="0"/>
        <w:spacing w:after="0" w:line="480" w:lineRule="auto"/>
        <w:ind w:left="708"/>
        <w:rPr>
          <w:rFonts w:ascii="Times New Roman" w:hAnsi="Times New Roman"/>
          <w:lang w:val="en-GB"/>
        </w:rPr>
      </w:pPr>
      <w:r w:rsidRPr="00563712">
        <w:rPr>
          <w:rFonts w:ascii="Times New Roman" w:hAnsi="Times New Roman"/>
          <w:lang w:val="en-GB"/>
        </w:rPr>
        <w:t>There is good empirical evidence that education not only affects labour market outcomes but is also a strong predictor of outcomes in other life domains. The [background questionnaire, AG] includes indicators of family formation (…), health (...), voluntary work (...), political efficacy (…) and social trust (OECD</w:t>
      </w:r>
      <w:r w:rsidR="00C52E91" w:rsidRPr="00563712">
        <w:rPr>
          <w:rFonts w:ascii="Times New Roman" w:hAnsi="Times New Roman"/>
          <w:lang w:val="en-GB"/>
        </w:rPr>
        <w:t>,</w:t>
      </w:r>
      <w:r w:rsidRPr="00563712">
        <w:rPr>
          <w:rFonts w:ascii="Times New Roman" w:hAnsi="Times New Roman"/>
          <w:lang w:val="en-GB"/>
        </w:rPr>
        <w:t xml:space="preserve"> 2011, </w:t>
      </w:r>
      <w:r w:rsidR="00C52E91" w:rsidRPr="00563712">
        <w:rPr>
          <w:rFonts w:ascii="Times New Roman" w:hAnsi="Times New Roman"/>
          <w:lang w:val="en-GB"/>
        </w:rPr>
        <w:t>p</w:t>
      </w:r>
      <w:r w:rsidRPr="00563712">
        <w:rPr>
          <w:rFonts w:ascii="Times New Roman" w:hAnsi="Times New Roman"/>
          <w:lang w:val="en-GB"/>
        </w:rPr>
        <w:t>.</w:t>
      </w:r>
      <w:r w:rsidR="00C52E91" w:rsidRPr="00563712">
        <w:rPr>
          <w:rFonts w:ascii="Times New Roman" w:hAnsi="Times New Roman"/>
          <w:lang w:val="en-GB"/>
        </w:rPr>
        <w:t> </w:t>
      </w:r>
      <w:r w:rsidRPr="00563712">
        <w:rPr>
          <w:rFonts w:ascii="Times New Roman" w:hAnsi="Times New Roman"/>
          <w:lang w:val="en-GB"/>
        </w:rPr>
        <w:t>46).</w:t>
      </w:r>
    </w:p>
    <w:p w14:paraId="23798C41" w14:textId="77777777" w:rsidR="00B616F1" w:rsidRPr="00563712" w:rsidRDefault="00B616F1" w:rsidP="005B3785">
      <w:pPr>
        <w:autoSpaceDE w:val="0"/>
        <w:autoSpaceDN w:val="0"/>
        <w:adjustRightInd w:val="0"/>
        <w:spacing w:after="0" w:line="480" w:lineRule="auto"/>
        <w:ind w:left="708"/>
        <w:rPr>
          <w:rFonts w:ascii="Times New Roman" w:hAnsi="Times New Roman"/>
          <w:lang w:val="en-GB"/>
        </w:rPr>
      </w:pPr>
    </w:p>
    <w:p w14:paraId="09065314" w14:textId="77777777" w:rsidR="00B616F1" w:rsidRPr="00563712" w:rsidRDefault="00B616F1" w:rsidP="005B3785">
      <w:pPr>
        <w:spacing w:after="0" w:line="480" w:lineRule="auto"/>
        <w:rPr>
          <w:rFonts w:ascii="Times New Roman" w:hAnsi="Times New Roman"/>
          <w:lang w:val="en-US"/>
        </w:rPr>
      </w:pPr>
      <w:r w:rsidRPr="00563712">
        <w:rPr>
          <w:rFonts w:ascii="Times New Roman" w:hAnsi="Times New Roman"/>
          <w:lang w:val="en-US"/>
        </w:rPr>
        <w:t>The assumptions about political efficacy and social trust rely on the idea of rational choices (</w:t>
      </w:r>
      <w:r w:rsidRPr="00563712">
        <w:rPr>
          <w:rFonts w:ascii="Times New Roman" w:hAnsi="Times New Roman"/>
          <w:i/>
          <w:lang w:val="en-US"/>
        </w:rPr>
        <w:t>homo oeconomicus</w:t>
      </w:r>
      <w:r w:rsidRPr="00563712">
        <w:rPr>
          <w:rFonts w:ascii="Times New Roman" w:hAnsi="Times New Roman"/>
          <w:lang w:val="en-US"/>
        </w:rPr>
        <w:t xml:space="preserve">), which mean humans vote or act socially as long as they think this makes sense because either it has an effect (political efficacy) or social acts will be reciprocated by others (social trust). Rational choice theories have often been criticized, mostly because they cannot explain altruism, friendship, morals, co-operation or solidarity in larger, functionally differentiated societies. Contemporary criticism comes from Pierre Rosanvallon, who prefers the idea of a </w:t>
      </w:r>
      <w:r w:rsidRPr="00563712">
        <w:rPr>
          <w:rFonts w:ascii="Times New Roman" w:hAnsi="Times New Roman"/>
          <w:i/>
          <w:lang w:val="en-US"/>
        </w:rPr>
        <w:t>homo reciprocans</w:t>
      </w:r>
      <w:r w:rsidRPr="00563712">
        <w:rPr>
          <w:rFonts w:ascii="Times New Roman" w:hAnsi="Times New Roman"/>
          <w:lang w:val="en-US"/>
        </w:rPr>
        <w:t xml:space="preserve"> </w:t>
      </w:r>
      <w:r w:rsidR="00C52E91" w:rsidRPr="00563712">
        <w:rPr>
          <w:rFonts w:ascii="Times New Roman" w:hAnsi="Times New Roman"/>
          <w:lang w:val="en-US"/>
        </w:rPr>
        <w:t>(2013, p</w:t>
      </w:r>
      <w:r w:rsidRPr="00563712">
        <w:rPr>
          <w:rFonts w:ascii="Times New Roman" w:hAnsi="Times New Roman"/>
          <w:lang w:val="en-US"/>
        </w:rPr>
        <w:t>.</w:t>
      </w:r>
      <w:r w:rsidR="00C52E91" w:rsidRPr="00563712">
        <w:rPr>
          <w:rFonts w:ascii="Times New Roman" w:hAnsi="Times New Roman"/>
          <w:lang w:val="en-US"/>
        </w:rPr>
        <w:t> </w:t>
      </w:r>
      <w:r w:rsidRPr="00563712">
        <w:rPr>
          <w:rFonts w:ascii="Times New Roman" w:hAnsi="Times New Roman"/>
          <w:lang w:val="en-US"/>
        </w:rPr>
        <w:t xml:space="preserve">319-320), who belongs to </w:t>
      </w:r>
      <w:r w:rsidRPr="00563712">
        <w:rPr>
          <w:rFonts w:ascii="Times New Roman" w:hAnsi="Times New Roman"/>
          <w:lang w:val="en-US"/>
        </w:rPr>
        <w:lastRenderedPageBreak/>
        <w:t>others and does not only individually or cognitively make rational decisions. In line with Rosanvallon, I prefer to interpret the PIAAC variables and results from the theoretical standpoint of reciprocal relations which make a society relevant for its members.</w:t>
      </w:r>
    </w:p>
    <w:p w14:paraId="52ADD6B5" w14:textId="77777777" w:rsidR="005B3785" w:rsidRPr="00563712" w:rsidRDefault="005B3785" w:rsidP="005B3785">
      <w:pPr>
        <w:spacing w:after="0" w:line="480" w:lineRule="auto"/>
        <w:rPr>
          <w:rFonts w:ascii="Times New Roman" w:hAnsi="Times New Roman"/>
          <w:lang w:val="en-US"/>
        </w:rPr>
      </w:pPr>
    </w:p>
    <w:p w14:paraId="7212B4EE" w14:textId="77777777" w:rsidR="00B616F1" w:rsidRPr="00563712" w:rsidRDefault="00B616F1" w:rsidP="005B3785">
      <w:pPr>
        <w:spacing w:after="0" w:line="480" w:lineRule="auto"/>
        <w:rPr>
          <w:rFonts w:ascii="Times New Roman" w:hAnsi="Times New Roman"/>
          <w:lang w:val="en-US"/>
        </w:rPr>
      </w:pPr>
      <w:r w:rsidRPr="00563712">
        <w:rPr>
          <w:rFonts w:ascii="Times New Roman" w:hAnsi="Times New Roman"/>
          <w:lang w:val="en-US"/>
        </w:rPr>
        <w:t>Rosanvallon also clarifies his position by stating that a lack of social cohesion allows the Nouvelle Droite</w:t>
      </w:r>
      <w:r w:rsidR="00A1171C" w:rsidRPr="00563712">
        <w:rPr>
          <w:rFonts w:ascii="Times New Roman" w:hAnsi="Times New Roman"/>
          <w:lang w:val="en-US"/>
        </w:rPr>
        <w:t xml:space="preserve"> (contemporary right-wing</w:t>
      </w:r>
      <w:r w:rsidRPr="00563712">
        <w:rPr>
          <w:rFonts w:ascii="Times New Roman" w:hAnsi="Times New Roman"/>
          <w:lang w:val="en-US"/>
        </w:rPr>
        <w:t xml:space="preserve"> </w:t>
      </w:r>
      <w:r w:rsidR="00A1171C" w:rsidRPr="00563712">
        <w:rPr>
          <w:rFonts w:ascii="Times New Roman" w:hAnsi="Times New Roman"/>
          <w:lang w:val="en-US"/>
        </w:rPr>
        <w:t xml:space="preserve">populism) </w:t>
      </w:r>
      <w:r w:rsidRPr="00563712">
        <w:rPr>
          <w:rFonts w:ascii="Times New Roman" w:hAnsi="Times New Roman"/>
          <w:lang w:val="en-US"/>
        </w:rPr>
        <w:t>to expand and use the feelings of disengagement for introducing their egoistic ideology.</w:t>
      </w:r>
    </w:p>
    <w:p w14:paraId="52B40872" w14:textId="77777777" w:rsidR="005B3785" w:rsidRPr="00563712" w:rsidRDefault="005B3785" w:rsidP="005B3785">
      <w:pPr>
        <w:spacing w:after="0" w:line="480" w:lineRule="auto"/>
        <w:rPr>
          <w:rFonts w:ascii="Times New Roman" w:hAnsi="Times New Roman"/>
          <w:lang w:val="en-US"/>
        </w:rPr>
      </w:pPr>
    </w:p>
    <w:p w14:paraId="5FB4CC29" w14:textId="77777777" w:rsidR="00B616F1" w:rsidRPr="00563712" w:rsidRDefault="00B616F1" w:rsidP="005B3785">
      <w:pPr>
        <w:spacing w:after="0" w:line="480" w:lineRule="auto"/>
        <w:rPr>
          <w:rFonts w:ascii="Times New Roman" w:hAnsi="Times New Roman"/>
          <w:lang w:val="en-US"/>
        </w:rPr>
      </w:pPr>
      <w:r w:rsidRPr="00563712">
        <w:rPr>
          <w:rFonts w:ascii="Times New Roman" w:hAnsi="Times New Roman"/>
          <w:lang w:val="en-US"/>
        </w:rPr>
        <w:t xml:space="preserve">The variables therefore have a connection with each other and can be read as indicators giving information about the democratic stability of societies and the dangers of right wing populists making use of social instability. </w:t>
      </w:r>
    </w:p>
    <w:p w14:paraId="36093D6D" w14:textId="77777777" w:rsidR="00B616F1" w:rsidRPr="00563712" w:rsidRDefault="00B616F1" w:rsidP="005B3785">
      <w:pPr>
        <w:spacing w:after="0" w:line="480" w:lineRule="auto"/>
        <w:rPr>
          <w:rFonts w:ascii="Times New Roman" w:hAnsi="Times New Roman"/>
          <w:lang w:val="en-US"/>
        </w:rPr>
      </w:pPr>
    </w:p>
    <w:p w14:paraId="1B865418" w14:textId="77777777" w:rsidR="00B616F1" w:rsidRPr="00563712" w:rsidRDefault="00B616F1" w:rsidP="005B3785">
      <w:pPr>
        <w:spacing w:after="0" w:line="480" w:lineRule="auto"/>
        <w:rPr>
          <w:rFonts w:ascii="Times New Roman" w:hAnsi="Times New Roman"/>
          <w:lang w:val="en-US"/>
        </w:rPr>
      </w:pPr>
      <w:r w:rsidRPr="00563712">
        <w:rPr>
          <w:rFonts w:ascii="Times New Roman" w:hAnsi="Times New Roman"/>
          <w:lang w:val="en-US"/>
        </w:rPr>
        <w:t xml:space="preserve">I will now check the </w:t>
      </w:r>
      <w:r w:rsidR="00B96922" w:rsidRPr="00563712">
        <w:rPr>
          <w:rFonts w:ascii="Times New Roman" w:hAnsi="Times New Roman"/>
          <w:lang w:val="en-US"/>
        </w:rPr>
        <w:t xml:space="preserve">variables </w:t>
      </w:r>
      <w:r w:rsidRPr="00563712">
        <w:rPr>
          <w:rFonts w:ascii="Times New Roman" w:hAnsi="Times New Roman"/>
          <w:lang w:val="en-US"/>
        </w:rPr>
        <w:t>with the PIAAC dataset and compare international and intra-national results. Data have been computed because of a Thematic Report „Adults with Low Skills“, which was initiated by the OECD and has recently been published as OECD Education Working Paper 131 (</w:t>
      </w:r>
      <w:r w:rsidR="00102D0D" w:rsidRPr="00563712">
        <w:rPr>
          <w:rFonts w:ascii="Times New Roman" w:hAnsi="Times New Roman"/>
          <w:lang w:val="en-GB"/>
        </w:rPr>
        <w:t>deleted for anonymity</w:t>
      </w:r>
      <w:r w:rsidRPr="00563712">
        <w:rPr>
          <w:rFonts w:ascii="Times New Roman" w:hAnsi="Times New Roman"/>
          <w:lang w:val="en-US"/>
        </w:rPr>
        <w:t>). All countries have been included and all computations have been carried out with weighted datasets and plausible values, using the PIAAC repest module for the Stata software (designed by Francois Keslair, OECD). The English version of the questions reads as follows:</w:t>
      </w:r>
    </w:p>
    <w:p w14:paraId="0B54D9DD" w14:textId="77777777" w:rsidR="005B3785" w:rsidRPr="00563712" w:rsidRDefault="005B3785" w:rsidP="005B3785">
      <w:pPr>
        <w:spacing w:after="0" w:line="480" w:lineRule="auto"/>
        <w:rPr>
          <w:rFonts w:ascii="Times New Roman" w:hAnsi="Times New Roman"/>
          <w:lang w:val="en-US"/>
        </w:rPr>
      </w:pPr>
    </w:p>
    <w:p w14:paraId="5136AF27" w14:textId="77777777" w:rsidR="00B616F1" w:rsidRPr="00563712" w:rsidRDefault="00B616F1" w:rsidP="005B3785">
      <w:pPr>
        <w:pStyle w:val="Liststycke"/>
        <w:numPr>
          <w:ilvl w:val="0"/>
          <w:numId w:val="33"/>
        </w:numPr>
        <w:spacing w:after="0" w:line="480" w:lineRule="auto"/>
        <w:rPr>
          <w:rFonts w:ascii="Times New Roman" w:hAnsi="Times New Roman"/>
          <w:szCs w:val="24"/>
          <w:lang w:val="en-US"/>
        </w:rPr>
      </w:pPr>
      <w:r w:rsidRPr="00563712">
        <w:rPr>
          <w:rFonts w:ascii="Times New Roman" w:hAnsi="Times New Roman"/>
          <w:szCs w:val="24"/>
          <w:lang w:val="en-US"/>
        </w:rPr>
        <w:t>Volunteering: „In the last 12 months, how often, if at all, did you do voluntary work, including unpaid work for a charity, political party, trade union or other non-profit organization?“</w:t>
      </w:r>
      <w:r w:rsidRPr="00563712">
        <w:rPr>
          <w:rFonts w:ascii="Times New Roman" w:hAnsi="Times New Roman"/>
          <w:vertAlign w:val="superscript"/>
          <w:lang w:val="en-US"/>
        </w:rPr>
        <w:endnoteReference w:id="12"/>
      </w:r>
    </w:p>
    <w:p w14:paraId="39EA4A07" w14:textId="77777777" w:rsidR="00B616F1" w:rsidRPr="00563712" w:rsidRDefault="00B616F1" w:rsidP="005B3785">
      <w:pPr>
        <w:pStyle w:val="Liststycke"/>
        <w:numPr>
          <w:ilvl w:val="0"/>
          <w:numId w:val="33"/>
        </w:numPr>
        <w:spacing w:after="0" w:line="480" w:lineRule="auto"/>
        <w:rPr>
          <w:rFonts w:ascii="Times New Roman" w:hAnsi="Times New Roman"/>
          <w:szCs w:val="24"/>
          <w:lang w:val="en-US"/>
        </w:rPr>
      </w:pPr>
      <w:r w:rsidRPr="00563712">
        <w:rPr>
          <w:rFonts w:ascii="Times New Roman" w:hAnsi="Times New Roman"/>
          <w:szCs w:val="24"/>
          <w:lang w:val="en-US"/>
        </w:rPr>
        <w:t>Political Efficacy: „People like me don't have any say about what the government does</w:t>
      </w:r>
      <w:r w:rsidR="00C52E91" w:rsidRPr="00563712">
        <w:rPr>
          <w:rFonts w:ascii="Times New Roman" w:hAnsi="Times New Roman"/>
          <w:szCs w:val="24"/>
          <w:lang w:val="en-US"/>
        </w:rPr>
        <w:t>.</w:t>
      </w:r>
      <w:r w:rsidRPr="00563712">
        <w:rPr>
          <w:rFonts w:ascii="Times New Roman" w:hAnsi="Times New Roman"/>
          <w:szCs w:val="24"/>
          <w:lang w:val="en-US"/>
        </w:rPr>
        <w:t>“</w:t>
      </w:r>
      <w:r w:rsidRPr="00563712">
        <w:rPr>
          <w:rFonts w:ascii="Times New Roman" w:hAnsi="Times New Roman"/>
          <w:vertAlign w:val="superscript"/>
          <w:lang w:val="en-US"/>
        </w:rPr>
        <w:endnoteReference w:id="13"/>
      </w:r>
    </w:p>
    <w:p w14:paraId="6C26C6BB" w14:textId="77777777" w:rsidR="00B616F1" w:rsidRPr="00563712" w:rsidRDefault="00B616F1" w:rsidP="005B3785">
      <w:pPr>
        <w:pStyle w:val="Liststycke"/>
        <w:numPr>
          <w:ilvl w:val="0"/>
          <w:numId w:val="33"/>
        </w:numPr>
        <w:spacing w:after="0" w:line="480" w:lineRule="auto"/>
        <w:rPr>
          <w:rFonts w:ascii="Times New Roman" w:hAnsi="Times New Roman"/>
          <w:szCs w:val="24"/>
          <w:lang w:val="en-US"/>
        </w:rPr>
      </w:pPr>
      <w:r w:rsidRPr="00563712">
        <w:rPr>
          <w:rFonts w:ascii="Times New Roman" w:hAnsi="Times New Roman"/>
          <w:szCs w:val="24"/>
          <w:lang w:val="en-US"/>
        </w:rPr>
        <w:t>Social Trust: „There are only a few people you can trust completely</w:t>
      </w:r>
      <w:r w:rsidR="00C52E91" w:rsidRPr="00563712">
        <w:rPr>
          <w:rFonts w:ascii="Times New Roman" w:hAnsi="Times New Roman"/>
          <w:szCs w:val="24"/>
          <w:lang w:val="en-US"/>
        </w:rPr>
        <w:t>.</w:t>
      </w:r>
      <w:r w:rsidRPr="00563712">
        <w:rPr>
          <w:rFonts w:ascii="Times New Roman" w:hAnsi="Times New Roman"/>
          <w:szCs w:val="24"/>
          <w:lang w:val="en-US"/>
        </w:rPr>
        <w:t>“</w:t>
      </w:r>
      <w:r w:rsidRPr="00563712">
        <w:rPr>
          <w:rFonts w:ascii="Times New Roman" w:hAnsi="Times New Roman"/>
          <w:vertAlign w:val="superscript"/>
          <w:lang w:val="en-US"/>
        </w:rPr>
        <w:endnoteReference w:id="14"/>
      </w:r>
    </w:p>
    <w:p w14:paraId="26A2EC1F" w14:textId="77777777" w:rsidR="00B616F1" w:rsidRPr="00563712" w:rsidRDefault="00B616F1" w:rsidP="005B3785">
      <w:pPr>
        <w:spacing w:after="0" w:line="480" w:lineRule="auto"/>
        <w:rPr>
          <w:rFonts w:ascii="Times New Roman" w:hAnsi="Times New Roman"/>
          <w:szCs w:val="24"/>
          <w:lang w:val="en-US"/>
        </w:rPr>
      </w:pPr>
    </w:p>
    <w:p w14:paraId="53492239" w14:textId="77777777" w:rsidR="00B616F1" w:rsidRPr="00563712" w:rsidRDefault="00B616F1" w:rsidP="005B3785">
      <w:pPr>
        <w:spacing w:after="0" w:line="480" w:lineRule="auto"/>
        <w:rPr>
          <w:rFonts w:ascii="Times New Roman" w:hAnsi="Times New Roman"/>
        </w:rPr>
      </w:pPr>
      <w:r w:rsidRPr="00563712">
        <w:rPr>
          <w:rFonts w:ascii="Times New Roman" w:hAnsi="Times New Roman"/>
          <w:szCs w:val="24"/>
          <w:lang w:val="en-US"/>
        </w:rPr>
        <w:t>The an</w:t>
      </w:r>
      <w:r w:rsidRPr="00563712">
        <w:rPr>
          <w:rFonts w:ascii="Times New Roman" w:hAnsi="Times New Roman"/>
          <w:lang w:val="en-US"/>
        </w:rPr>
        <w:t xml:space="preserve">alysis has been carried out by country and by literacy level. The results of the OECD partners Cyprus and Russia are shown in the graphs but will not be interpreted. </w:t>
      </w:r>
      <w:r w:rsidRPr="00563712">
        <w:rPr>
          <w:rFonts w:ascii="Times New Roman" w:hAnsi="Times New Roman"/>
        </w:rPr>
        <w:t>Interpretation focuses on the OECD countries.</w:t>
      </w:r>
    </w:p>
    <w:p w14:paraId="37B2D10E" w14:textId="77777777" w:rsidR="00B616F1" w:rsidRPr="00563712" w:rsidRDefault="00B616F1" w:rsidP="005B3785">
      <w:pPr>
        <w:spacing w:after="0" w:line="480" w:lineRule="auto"/>
        <w:rPr>
          <w:rFonts w:ascii="Times New Roman" w:hAnsi="Times New Roman"/>
        </w:rPr>
      </w:pPr>
    </w:p>
    <w:p w14:paraId="620AD296" w14:textId="77777777" w:rsidR="00B616F1" w:rsidRPr="00563712" w:rsidRDefault="00B616F1" w:rsidP="005B3785">
      <w:pPr>
        <w:pStyle w:val="Rubrik1"/>
        <w:numPr>
          <w:ilvl w:val="0"/>
          <w:numId w:val="30"/>
        </w:numPr>
        <w:spacing w:before="0" w:line="480" w:lineRule="auto"/>
        <w:ind w:left="360"/>
        <w:rPr>
          <w:rFonts w:ascii="Times New Roman" w:hAnsi="Times New Roman"/>
          <w:color w:val="auto"/>
          <w:lang w:val="en-US"/>
        </w:rPr>
      </w:pPr>
      <w:bookmarkStart w:id="6" w:name="_Toc439084894"/>
      <w:bookmarkStart w:id="7" w:name="_Toc453846540"/>
      <w:r w:rsidRPr="00563712">
        <w:rPr>
          <w:rFonts w:ascii="Times New Roman" w:hAnsi="Times New Roman"/>
          <w:color w:val="auto"/>
          <w:lang w:val="en-US"/>
        </w:rPr>
        <w:t xml:space="preserve">Findings by country and literacy level </w:t>
      </w:r>
      <w:bookmarkEnd w:id="6"/>
      <w:bookmarkEnd w:id="7"/>
    </w:p>
    <w:p w14:paraId="543DAFCA" w14:textId="77777777" w:rsidR="005B3785" w:rsidRPr="00563712" w:rsidRDefault="005B3785" w:rsidP="005B3785">
      <w:pPr>
        <w:spacing w:after="0" w:line="480" w:lineRule="auto"/>
        <w:rPr>
          <w:rFonts w:ascii="Times New Roman" w:hAnsi="Times New Roman"/>
          <w:lang w:val="en-US"/>
        </w:rPr>
      </w:pPr>
    </w:p>
    <w:p w14:paraId="5D8DB66B" w14:textId="77777777" w:rsidR="00B616F1" w:rsidRPr="00563712" w:rsidRDefault="00B616F1" w:rsidP="005B3785">
      <w:pPr>
        <w:spacing w:after="0" w:line="480" w:lineRule="auto"/>
        <w:rPr>
          <w:rFonts w:ascii="Times New Roman" w:hAnsi="Times New Roman"/>
          <w:lang w:val="en-US"/>
        </w:rPr>
      </w:pPr>
      <w:r w:rsidRPr="00563712">
        <w:rPr>
          <w:rFonts w:ascii="Times New Roman" w:hAnsi="Times New Roman"/>
          <w:lang w:val="en-US"/>
        </w:rPr>
        <w:t xml:space="preserve">The analysis tries to describe the subpopulations of low-literate adults compared to high-literate adults and specified by country. This does </w:t>
      </w:r>
      <w:r w:rsidRPr="00563712">
        <w:rPr>
          <w:rFonts w:ascii="Times New Roman" w:hAnsi="Times New Roman"/>
          <w:i/>
          <w:lang w:val="en-US"/>
        </w:rPr>
        <w:t>not</w:t>
      </w:r>
      <w:r w:rsidRPr="00563712">
        <w:rPr>
          <w:rFonts w:ascii="Times New Roman" w:hAnsi="Times New Roman"/>
          <w:lang w:val="en-US"/>
        </w:rPr>
        <w:t xml:space="preserve"> mean literacy is the cause for political efficacy, social trust or volunteering. The question is how people with low literacy skills act and feel in their societies</w:t>
      </w:r>
      <w:r w:rsidR="00B96922" w:rsidRPr="00563712">
        <w:rPr>
          <w:rFonts w:ascii="Times New Roman" w:hAnsi="Times New Roman"/>
          <w:lang w:val="en-US"/>
        </w:rPr>
        <w:t xml:space="preserve"> and</w:t>
      </w:r>
      <w:r w:rsidRPr="00563712">
        <w:rPr>
          <w:rFonts w:ascii="Times New Roman" w:hAnsi="Times New Roman"/>
          <w:lang w:val="en-US"/>
        </w:rPr>
        <w:t xml:space="preserve"> how this differs from high-literate adults</w:t>
      </w:r>
      <w:r w:rsidR="00B96922" w:rsidRPr="00563712">
        <w:rPr>
          <w:rFonts w:ascii="Times New Roman" w:hAnsi="Times New Roman"/>
          <w:lang w:val="en-US"/>
        </w:rPr>
        <w:t xml:space="preserve">. </w:t>
      </w:r>
      <w:r w:rsidRPr="00563712">
        <w:rPr>
          <w:rFonts w:ascii="Times New Roman" w:hAnsi="Times New Roman"/>
          <w:lang w:val="en-US"/>
        </w:rPr>
        <w:t xml:space="preserve"> </w:t>
      </w:r>
      <w:r w:rsidR="00B96922" w:rsidRPr="00563712">
        <w:rPr>
          <w:rFonts w:ascii="Times New Roman" w:hAnsi="Times New Roman"/>
          <w:lang w:val="en-US"/>
        </w:rPr>
        <w:t xml:space="preserve">Further discussion may take place and clarify </w:t>
      </w:r>
      <w:r w:rsidRPr="00563712">
        <w:rPr>
          <w:rFonts w:ascii="Times New Roman" w:hAnsi="Times New Roman"/>
          <w:lang w:val="en-US"/>
        </w:rPr>
        <w:t xml:space="preserve">whether the gaps should be seen as a reason for offering possibilities for political and social participation for them, including adult education. </w:t>
      </w:r>
    </w:p>
    <w:p w14:paraId="209BFF24" w14:textId="77777777" w:rsidR="00B616F1" w:rsidRPr="00563712" w:rsidRDefault="00B616F1" w:rsidP="005B3785">
      <w:pPr>
        <w:spacing w:after="0" w:line="480" w:lineRule="auto"/>
        <w:rPr>
          <w:rFonts w:ascii="Times New Roman" w:hAnsi="Times New Roman"/>
          <w:lang w:val="en-US"/>
        </w:rPr>
      </w:pPr>
    </w:p>
    <w:p w14:paraId="1B97BA82" w14:textId="77777777" w:rsidR="00B616F1" w:rsidRPr="00563712" w:rsidRDefault="00B616F1" w:rsidP="005B3785">
      <w:pPr>
        <w:pStyle w:val="Rubrik2"/>
        <w:spacing w:before="0" w:line="480" w:lineRule="auto"/>
        <w:rPr>
          <w:rFonts w:ascii="Times New Roman" w:hAnsi="Times New Roman"/>
          <w:color w:val="auto"/>
          <w:lang w:val="en-US"/>
        </w:rPr>
      </w:pPr>
      <w:bookmarkStart w:id="8" w:name="_Toc439084895"/>
      <w:bookmarkStart w:id="9" w:name="_Toc453846541"/>
      <w:r w:rsidRPr="00563712">
        <w:rPr>
          <w:rFonts w:ascii="Times New Roman" w:hAnsi="Times New Roman"/>
          <w:color w:val="auto"/>
          <w:lang w:val="en-US"/>
        </w:rPr>
        <w:t>Findings</w:t>
      </w:r>
      <w:r w:rsidR="00731097" w:rsidRPr="00563712">
        <w:rPr>
          <w:rFonts w:ascii="Times New Roman" w:hAnsi="Times New Roman"/>
          <w:color w:val="auto"/>
          <w:lang w:val="en-US"/>
        </w:rPr>
        <w:t xml:space="preserve"> and Discussion: A</w:t>
      </w:r>
      <w:r w:rsidRPr="00563712">
        <w:rPr>
          <w:rFonts w:ascii="Times New Roman" w:hAnsi="Times New Roman"/>
          <w:color w:val="auto"/>
          <w:lang w:val="en-US"/>
        </w:rPr>
        <w:t>dults performing</w:t>
      </w:r>
      <w:r w:rsidR="00BC63AA" w:rsidRPr="00563712">
        <w:rPr>
          <w:rFonts w:ascii="Times New Roman" w:hAnsi="Times New Roman"/>
          <w:color w:val="auto"/>
          <w:lang w:val="en-US"/>
        </w:rPr>
        <w:t xml:space="preserve"> at literacy level I and below assume they have l</w:t>
      </w:r>
      <w:r w:rsidR="00731097" w:rsidRPr="00563712">
        <w:rPr>
          <w:rFonts w:ascii="Times New Roman" w:hAnsi="Times New Roman"/>
          <w:color w:val="auto"/>
          <w:lang w:val="en-US"/>
        </w:rPr>
        <w:t xml:space="preserve">ittle </w:t>
      </w:r>
      <w:r w:rsidR="00BC63AA" w:rsidRPr="00563712">
        <w:rPr>
          <w:rFonts w:ascii="Times New Roman" w:hAnsi="Times New Roman"/>
          <w:color w:val="auto"/>
          <w:lang w:val="en-US"/>
        </w:rPr>
        <w:t>p</w:t>
      </w:r>
      <w:r w:rsidR="00731097" w:rsidRPr="00563712">
        <w:rPr>
          <w:rFonts w:ascii="Times New Roman" w:hAnsi="Times New Roman"/>
          <w:color w:val="auto"/>
          <w:lang w:val="en-US"/>
        </w:rPr>
        <w:t xml:space="preserve">olitical </w:t>
      </w:r>
      <w:r w:rsidR="00BC63AA" w:rsidRPr="00563712">
        <w:rPr>
          <w:rFonts w:ascii="Times New Roman" w:hAnsi="Times New Roman"/>
          <w:color w:val="auto"/>
          <w:lang w:val="en-US"/>
        </w:rPr>
        <w:t>e</w:t>
      </w:r>
      <w:r w:rsidRPr="00563712">
        <w:rPr>
          <w:rFonts w:ascii="Times New Roman" w:hAnsi="Times New Roman"/>
          <w:color w:val="auto"/>
          <w:lang w:val="en-US"/>
        </w:rPr>
        <w:t xml:space="preserve">fficacy </w:t>
      </w:r>
      <w:bookmarkEnd w:id="8"/>
      <w:bookmarkEnd w:id="9"/>
    </w:p>
    <w:p w14:paraId="26DACA12" w14:textId="77777777" w:rsidR="005B3785" w:rsidRPr="00563712" w:rsidRDefault="005B3785" w:rsidP="005B3785">
      <w:pPr>
        <w:spacing w:after="0" w:line="480" w:lineRule="auto"/>
        <w:rPr>
          <w:rFonts w:ascii="Times New Roman" w:hAnsi="Times New Roman"/>
          <w:i/>
          <w:lang w:val="en-US"/>
        </w:rPr>
      </w:pPr>
    </w:p>
    <w:p w14:paraId="3286DAE6" w14:textId="77777777" w:rsidR="00B616F1" w:rsidRPr="00563712" w:rsidRDefault="00B616F1" w:rsidP="005B3785">
      <w:pPr>
        <w:spacing w:after="0" w:line="480" w:lineRule="auto"/>
        <w:rPr>
          <w:rFonts w:ascii="Times New Roman" w:hAnsi="Times New Roman"/>
          <w:lang w:val="en-US"/>
        </w:rPr>
      </w:pPr>
      <w:r w:rsidRPr="00563712">
        <w:rPr>
          <w:rFonts w:ascii="Times New Roman" w:hAnsi="Times New Roman"/>
          <w:i/>
          <w:lang w:val="en-US"/>
        </w:rPr>
        <w:t>Political Efficacy</w:t>
      </w:r>
      <w:r w:rsidRPr="00563712">
        <w:rPr>
          <w:rFonts w:ascii="Times New Roman" w:hAnsi="Times New Roman"/>
          <w:lang w:val="en-US"/>
        </w:rPr>
        <w:t xml:space="preserve"> has to be understood as one’s own feeling of having the capacity to understand politics enough to participate, and as the feeling of responsiveness of governments. The question has been operationalized negatively, asking about a lack of influence on governments. Critics state this might be a narrow definition of politics, as it is reduced to governments, political institutions and elections, while many other expressions of political activities – like demonstrations, petitions, ecological awareness, struggles against class, gender and race inequalities are left out of this definition.</w:t>
      </w:r>
    </w:p>
    <w:p w14:paraId="7A887288" w14:textId="77777777" w:rsidR="00B616F1" w:rsidRPr="00563712" w:rsidRDefault="00B616F1" w:rsidP="005B3785">
      <w:pPr>
        <w:spacing w:after="0" w:line="480" w:lineRule="auto"/>
        <w:rPr>
          <w:rFonts w:ascii="Times New Roman" w:hAnsi="Times New Roman"/>
          <w:lang w:val="en-US"/>
        </w:rPr>
      </w:pPr>
      <w:r w:rsidRPr="00563712">
        <w:rPr>
          <w:rFonts w:ascii="Times New Roman" w:hAnsi="Times New Roman"/>
          <w:lang w:val="en-US"/>
        </w:rPr>
        <w:t xml:space="preserve"> </w:t>
      </w:r>
    </w:p>
    <w:p w14:paraId="5F9EC876" w14:textId="77777777" w:rsidR="00B616F1" w:rsidRPr="00563712" w:rsidRDefault="00B616F1" w:rsidP="005B3785">
      <w:pPr>
        <w:spacing w:after="0" w:line="480" w:lineRule="auto"/>
        <w:rPr>
          <w:rFonts w:ascii="Times New Roman" w:hAnsi="Times New Roman"/>
          <w:lang w:val="en-GB"/>
        </w:rPr>
      </w:pPr>
      <w:r w:rsidRPr="00563712">
        <w:rPr>
          <w:rFonts w:ascii="Times New Roman" w:hAnsi="Times New Roman"/>
          <w:noProof/>
          <w:lang w:val="sv-SE" w:eastAsia="sv-SE"/>
        </w:rPr>
        <w:lastRenderedPageBreak/>
        <w:drawing>
          <wp:inline distT="0" distB="0" distL="0" distR="0" wp14:anchorId="1765DD6A" wp14:editId="39EBDA90">
            <wp:extent cx="5702300" cy="3310255"/>
            <wp:effectExtent l="0" t="0" r="12700" b="23495"/>
            <wp:docPr id="1" name="Diagram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97D36D9" w14:textId="77777777" w:rsidR="00B616F1" w:rsidRPr="00563712" w:rsidRDefault="00B616F1" w:rsidP="005B3785">
      <w:pPr>
        <w:pStyle w:val="Beskrivning"/>
        <w:spacing w:after="0" w:line="480" w:lineRule="auto"/>
        <w:rPr>
          <w:rFonts w:ascii="Times New Roman" w:hAnsi="Times New Roman"/>
          <w:b w:val="0"/>
          <w:color w:val="auto"/>
          <w:lang w:val="en-GB"/>
        </w:rPr>
      </w:pPr>
    </w:p>
    <w:p w14:paraId="03AE16D3" w14:textId="77777777" w:rsidR="00B616F1" w:rsidRPr="00563712" w:rsidRDefault="00B616F1" w:rsidP="005B3785">
      <w:pPr>
        <w:pStyle w:val="Beskrivning"/>
        <w:spacing w:after="0" w:line="480" w:lineRule="auto"/>
        <w:rPr>
          <w:rFonts w:ascii="Times New Roman" w:hAnsi="Times New Roman"/>
          <w:b w:val="0"/>
          <w:color w:val="auto"/>
          <w:lang w:val="en-GB"/>
        </w:rPr>
      </w:pPr>
      <w:r w:rsidRPr="00563712">
        <w:rPr>
          <w:rFonts w:ascii="Times New Roman" w:hAnsi="Times New Roman"/>
          <w:b w:val="0"/>
          <w:color w:val="auto"/>
          <w:lang w:val="en-GB"/>
        </w:rPr>
        <w:t xml:space="preserve">Figure </w:t>
      </w:r>
      <w:r w:rsidRPr="00563712">
        <w:rPr>
          <w:rFonts w:ascii="Times New Roman" w:hAnsi="Times New Roman"/>
          <w:b w:val="0"/>
          <w:color w:val="auto"/>
          <w:lang w:val="en-GB"/>
        </w:rPr>
        <w:fldChar w:fldCharType="begin"/>
      </w:r>
      <w:r w:rsidRPr="00563712">
        <w:rPr>
          <w:rFonts w:ascii="Times New Roman" w:hAnsi="Times New Roman"/>
          <w:b w:val="0"/>
          <w:color w:val="auto"/>
          <w:lang w:val="en-GB"/>
        </w:rPr>
        <w:instrText xml:space="preserve"> SEQ Abbildung \* ARABIC </w:instrText>
      </w:r>
      <w:r w:rsidRPr="00563712">
        <w:rPr>
          <w:rFonts w:ascii="Times New Roman" w:hAnsi="Times New Roman"/>
          <w:b w:val="0"/>
          <w:color w:val="auto"/>
          <w:lang w:val="en-GB"/>
        </w:rPr>
        <w:fldChar w:fldCharType="separate"/>
      </w:r>
      <w:r w:rsidRPr="00563712">
        <w:rPr>
          <w:rFonts w:ascii="Times New Roman" w:hAnsi="Times New Roman"/>
          <w:b w:val="0"/>
          <w:noProof/>
          <w:color w:val="auto"/>
          <w:lang w:val="en-GB"/>
        </w:rPr>
        <w:t>1</w:t>
      </w:r>
      <w:r w:rsidRPr="00563712">
        <w:rPr>
          <w:rFonts w:ascii="Times New Roman" w:hAnsi="Times New Roman"/>
          <w:b w:val="0"/>
          <w:color w:val="auto"/>
          <w:lang w:val="en-GB"/>
        </w:rPr>
        <w:fldChar w:fldCharType="end"/>
      </w:r>
      <w:r w:rsidRPr="00563712">
        <w:rPr>
          <w:rFonts w:ascii="Times New Roman" w:hAnsi="Times New Roman"/>
          <w:b w:val="0"/>
          <w:color w:val="auto"/>
          <w:lang w:val="en-GB"/>
        </w:rPr>
        <w:t>: Political Efficacy (Top Two Negative Answers) by Literacy Levels and Country (Quelle: PIAAC</w:t>
      </w:r>
      <w:r w:rsidR="00C52E91" w:rsidRPr="00563712">
        <w:rPr>
          <w:rFonts w:ascii="Times New Roman" w:hAnsi="Times New Roman"/>
          <w:b w:val="0"/>
          <w:color w:val="auto"/>
          <w:lang w:val="en-GB"/>
        </w:rPr>
        <w:t>,</w:t>
      </w:r>
      <w:r w:rsidRPr="00563712">
        <w:rPr>
          <w:rFonts w:ascii="Times New Roman" w:hAnsi="Times New Roman"/>
          <w:b w:val="0"/>
          <w:color w:val="auto"/>
          <w:lang w:val="en-GB"/>
        </w:rPr>
        <w:t xml:space="preserve"> 2012 data).</w:t>
      </w:r>
    </w:p>
    <w:p w14:paraId="48AE5705" w14:textId="77777777" w:rsidR="00B616F1" w:rsidRPr="00563712" w:rsidRDefault="00B616F1" w:rsidP="005B3785">
      <w:pPr>
        <w:spacing w:line="480" w:lineRule="auto"/>
        <w:rPr>
          <w:rFonts w:ascii="Times New Roman" w:hAnsi="Times New Roman"/>
          <w:lang w:val="en-GB"/>
        </w:rPr>
      </w:pPr>
    </w:p>
    <w:p w14:paraId="634D47C3" w14:textId="77777777" w:rsidR="00B616F1" w:rsidRPr="00563712" w:rsidRDefault="00B616F1" w:rsidP="005B3785">
      <w:pPr>
        <w:spacing w:after="0" w:line="480" w:lineRule="auto"/>
        <w:rPr>
          <w:rFonts w:ascii="Times New Roman" w:hAnsi="Times New Roman"/>
          <w:lang w:val="en-US"/>
        </w:rPr>
      </w:pPr>
      <w:r w:rsidRPr="00563712">
        <w:rPr>
          <w:rFonts w:ascii="Times New Roman" w:hAnsi="Times New Roman"/>
          <w:lang w:val="en-US"/>
        </w:rPr>
        <w:t xml:space="preserve">Roughly two thirds of the German population at or below literacy Level I (65%) assume not to be able to influence their government. The gap between low and high-literate adults (23%) is rather large (more than 40 percentage points) and larger than the gaps of all other countries. </w:t>
      </w:r>
    </w:p>
    <w:p w14:paraId="26C6E1BA" w14:textId="77777777" w:rsidR="00B616F1" w:rsidRPr="00563712" w:rsidRDefault="00B616F1" w:rsidP="005B3785">
      <w:pPr>
        <w:spacing w:after="0" w:line="480" w:lineRule="auto"/>
        <w:rPr>
          <w:rFonts w:ascii="Times New Roman" w:hAnsi="Times New Roman"/>
          <w:lang w:val="en-US"/>
        </w:rPr>
      </w:pPr>
    </w:p>
    <w:p w14:paraId="36CE66E6" w14:textId="77777777" w:rsidR="00B616F1" w:rsidRPr="00563712" w:rsidRDefault="00B616F1" w:rsidP="005B3785">
      <w:pPr>
        <w:spacing w:after="0" w:line="480" w:lineRule="auto"/>
        <w:rPr>
          <w:rFonts w:ascii="Times New Roman" w:hAnsi="Times New Roman"/>
          <w:lang w:val="en-US"/>
        </w:rPr>
      </w:pPr>
      <w:r w:rsidRPr="00563712">
        <w:rPr>
          <w:rFonts w:ascii="Times New Roman" w:hAnsi="Times New Roman"/>
          <w:lang w:val="en-US"/>
        </w:rPr>
        <w:t xml:space="preserve">A closer look at Poland and France, two large but historically very different neighboring countries, shows interesting differences. While Germany has a large gap in 2012 (when the data was gathered), the northeastern neighbor Poland finds better feelings of political efficacy in the low subpopulation (59%) and worse for high-literate adults (31%). Poland changed their economic system to capitalism and their government to a democracy in an ongoing process in the 1980s. Four years later a nationalist government took over, but the data represent the situation in 2012. </w:t>
      </w:r>
    </w:p>
    <w:p w14:paraId="274E6697" w14:textId="77777777" w:rsidR="00B616F1" w:rsidRPr="00563712" w:rsidRDefault="00B616F1" w:rsidP="005B3785">
      <w:pPr>
        <w:spacing w:after="0" w:line="480" w:lineRule="auto"/>
        <w:rPr>
          <w:rFonts w:ascii="Times New Roman" w:hAnsi="Times New Roman"/>
          <w:lang w:val="en-US"/>
        </w:rPr>
      </w:pPr>
    </w:p>
    <w:p w14:paraId="05C26AF4" w14:textId="77777777" w:rsidR="00B616F1" w:rsidRPr="00563712" w:rsidRDefault="00B616F1" w:rsidP="005B3785">
      <w:pPr>
        <w:spacing w:after="0" w:line="480" w:lineRule="auto"/>
        <w:rPr>
          <w:rFonts w:ascii="Times New Roman" w:hAnsi="Times New Roman"/>
          <w:lang w:val="en-US"/>
        </w:rPr>
      </w:pPr>
      <w:r w:rsidRPr="00563712">
        <w:rPr>
          <w:rFonts w:ascii="Times New Roman" w:hAnsi="Times New Roman"/>
          <w:lang w:val="en-US"/>
        </w:rPr>
        <w:lastRenderedPageBreak/>
        <w:t>Geographically on the southwestern side, France</w:t>
      </w:r>
      <w:r w:rsidR="00A1171C" w:rsidRPr="00563712">
        <w:rPr>
          <w:rFonts w:ascii="Times New Roman" w:hAnsi="Times New Roman"/>
          <w:lang w:val="en-US"/>
        </w:rPr>
        <w:t xml:space="preserve"> faces nearly three quarters of</w:t>
      </w:r>
      <w:r w:rsidRPr="00563712">
        <w:rPr>
          <w:rFonts w:ascii="Times New Roman" w:hAnsi="Times New Roman"/>
          <w:lang w:val="en-US"/>
        </w:rPr>
        <w:t xml:space="preserve"> low-literates agreeing to the statement of feeling politically ineffective (73%). More striking, however, is the group of roughly 56% of the high-literate adults feeling disengaged from their government, this figure being the highest of all participating countries in 2012. Neither French conservative nor French socialist governmental actions seem to convince the contemporary French population of their political efficacy: Politics obviously disconnects with voters. </w:t>
      </w:r>
    </w:p>
    <w:p w14:paraId="0E8DB9AE" w14:textId="77777777" w:rsidR="00B616F1" w:rsidRPr="00563712" w:rsidRDefault="00B616F1" w:rsidP="005B3785">
      <w:pPr>
        <w:spacing w:after="0" w:line="480" w:lineRule="auto"/>
        <w:rPr>
          <w:rFonts w:ascii="Times New Roman" w:hAnsi="Times New Roman"/>
          <w:lang w:val="en-US"/>
        </w:rPr>
      </w:pPr>
    </w:p>
    <w:p w14:paraId="6E191409" w14:textId="77777777" w:rsidR="00B616F1" w:rsidRPr="00563712" w:rsidRDefault="00B616F1" w:rsidP="005B3785">
      <w:pPr>
        <w:spacing w:after="0" w:line="480" w:lineRule="auto"/>
        <w:rPr>
          <w:rFonts w:ascii="Times New Roman" w:hAnsi="Times New Roman"/>
          <w:lang w:val="en-US"/>
        </w:rPr>
      </w:pPr>
      <w:r w:rsidRPr="00563712">
        <w:rPr>
          <w:rFonts w:ascii="Times New Roman" w:hAnsi="Times New Roman"/>
          <w:lang w:val="en-US"/>
        </w:rPr>
        <w:t xml:space="preserve">The international results are robust and confirm the Mathew Effect, which is known for </w:t>
      </w:r>
      <w:r w:rsidRPr="00563712">
        <w:rPr>
          <w:rFonts w:ascii="Times New Roman" w:hAnsi="Times New Roman"/>
          <w:i/>
          <w:lang w:val="en-US"/>
        </w:rPr>
        <w:t>formal education</w:t>
      </w:r>
      <w:r w:rsidRPr="00563712">
        <w:rPr>
          <w:rFonts w:ascii="Times New Roman" w:hAnsi="Times New Roman"/>
          <w:lang w:val="en-US"/>
        </w:rPr>
        <w:t xml:space="preserve">, holding true for </w:t>
      </w:r>
      <w:r w:rsidRPr="00563712">
        <w:rPr>
          <w:rFonts w:ascii="Times New Roman" w:hAnsi="Times New Roman"/>
          <w:i/>
          <w:lang w:val="en-US"/>
        </w:rPr>
        <w:t>literacy competence</w:t>
      </w:r>
      <w:r w:rsidRPr="00563712">
        <w:rPr>
          <w:rFonts w:ascii="Times New Roman" w:hAnsi="Times New Roman"/>
          <w:lang w:val="en-US"/>
        </w:rPr>
        <w:t xml:space="preserve"> as well. All countries’ low-literate populations report lower political efficacies than the high-literate adults. These data do not mean low-literate adults are to be blamed for. The explanation by German political scientist Christoph Butterwegge seems more convincing: precarious groups and lower classes vote less often than others. So politicians, who depend on voters, organize their activities towards middle classes (Butterwegge</w:t>
      </w:r>
      <w:r w:rsidR="005F3BA9" w:rsidRPr="00563712">
        <w:rPr>
          <w:rFonts w:ascii="Times New Roman" w:hAnsi="Times New Roman"/>
          <w:lang w:val="en-US"/>
        </w:rPr>
        <w:t>,</w:t>
      </w:r>
      <w:r w:rsidRPr="00563712">
        <w:rPr>
          <w:rFonts w:ascii="Times New Roman" w:hAnsi="Times New Roman"/>
          <w:lang w:val="en-US"/>
        </w:rPr>
        <w:t xml:space="preserve"> 2015). Therefore, the most precarious groups actually do not receive any response from their politicians, and thus the statement of being politically ineffective is simply true. This does not mean low-literate adults were politically uninterested; they still may protest or enjoy satirical shows. And they also may feel understood by nationalist and populist agitators – which is an expression of political thoughts and wills as well, even if it has nothing in common with democracy, solidarity or social cohesion.</w:t>
      </w:r>
    </w:p>
    <w:p w14:paraId="53229694" w14:textId="77777777" w:rsidR="00B616F1" w:rsidRPr="00563712" w:rsidRDefault="00B616F1" w:rsidP="005B3785">
      <w:pPr>
        <w:spacing w:after="0" w:line="480" w:lineRule="auto"/>
        <w:rPr>
          <w:rFonts w:ascii="Times New Roman" w:hAnsi="Times New Roman"/>
          <w:lang w:val="en-US"/>
        </w:rPr>
      </w:pPr>
    </w:p>
    <w:p w14:paraId="70F78899" w14:textId="77777777" w:rsidR="00B616F1" w:rsidRPr="00563712" w:rsidRDefault="00B616F1" w:rsidP="005B3785">
      <w:pPr>
        <w:pStyle w:val="Rubrik2"/>
        <w:spacing w:before="0" w:line="480" w:lineRule="auto"/>
        <w:rPr>
          <w:rFonts w:ascii="Times New Roman" w:hAnsi="Times New Roman"/>
          <w:color w:val="auto"/>
          <w:lang w:val="en-US"/>
        </w:rPr>
      </w:pPr>
      <w:bookmarkStart w:id="10" w:name="_Toc439084896"/>
      <w:bookmarkStart w:id="11" w:name="_Toc453846542"/>
      <w:r w:rsidRPr="00563712">
        <w:rPr>
          <w:rFonts w:ascii="Times New Roman" w:hAnsi="Times New Roman"/>
          <w:color w:val="auto"/>
          <w:lang w:val="en-US"/>
        </w:rPr>
        <w:t>Findings</w:t>
      </w:r>
      <w:r w:rsidR="00731097" w:rsidRPr="00563712">
        <w:rPr>
          <w:rFonts w:ascii="Times New Roman" w:hAnsi="Times New Roman"/>
          <w:color w:val="auto"/>
          <w:lang w:val="en-US"/>
        </w:rPr>
        <w:t xml:space="preserve"> and Discussion: A</w:t>
      </w:r>
      <w:r w:rsidR="00BC63AA" w:rsidRPr="00563712">
        <w:rPr>
          <w:rFonts w:ascii="Times New Roman" w:hAnsi="Times New Roman"/>
          <w:color w:val="auto"/>
          <w:lang w:val="en-US"/>
        </w:rPr>
        <w:t>dults performing at l</w:t>
      </w:r>
      <w:r w:rsidRPr="00563712">
        <w:rPr>
          <w:rFonts w:ascii="Times New Roman" w:hAnsi="Times New Roman"/>
          <w:color w:val="auto"/>
          <w:lang w:val="en-US"/>
        </w:rPr>
        <w:t xml:space="preserve">iteracy </w:t>
      </w:r>
      <w:r w:rsidR="00BC63AA" w:rsidRPr="00563712">
        <w:rPr>
          <w:rFonts w:ascii="Times New Roman" w:hAnsi="Times New Roman"/>
          <w:color w:val="auto"/>
          <w:lang w:val="en-US"/>
        </w:rPr>
        <w:t>l</w:t>
      </w:r>
      <w:r w:rsidRPr="00563712">
        <w:rPr>
          <w:rFonts w:ascii="Times New Roman" w:hAnsi="Times New Roman"/>
          <w:color w:val="auto"/>
          <w:lang w:val="en-US"/>
        </w:rPr>
        <w:t>evel I and below exp</w:t>
      </w:r>
      <w:r w:rsidR="00731097" w:rsidRPr="00563712">
        <w:rPr>
          <w:rFonts w:ascii="Times New Roman" w:hAnsi="Times New Roman"/>
          <w:color w:val="auto"/>
          <w:lang w:val="en-US"/>
        </w:rPr>
        <w:t xml:space="preserve">ress </w:t>
      </w:r>
      <w:r w:rsidR="00BC63AA" w:rsidRPr="00563712">
        <w:rPr>
          <w:rFonts w:ascii="Times New Roman" w:hAnsi="Times New Roman"/>
          <w:color w:val="auto"/>
          <w:lang w:val="en-US"/>
        </w:rPr>
        <w:t>l</w:t>
      </w:r>
      <w:r w:rsidR="00731097" w:rsidRPr="00563712">
        <w:rPr>
          <w:rFonts w:ascii="Times New Roman" w:hAnsi="Times New Roman"/>
          <w:color w:val="auto"/>
          <w:lang w:val="en-US"/>
        </w:rPr>
        <w:t xml:space="preserve">ow </w:t>
      </w:r>
      <w:r w:rsidR="00BC63AA" w:rsidRPr="00563712">
        <w:rPr>
          <w:rFonts w:ascii="Times New Roman" w:hAnsi="Times New Roman"/>
          <w:color w:val="auto"/>
          <w:lang w:val="en-US"/>
        </w:rPr>
        <w:t>s</w:t>
      </w:r>
      <w:r w:rsidR="00731097" w:rsidRPr="00563712">
        <w:rPr>
          <w:rFonts w:ascii="Times New Roman" w:hAnsi="Times New Roman"/>
          <w:color w:val="auto"/>
          <w:lang w:val="en-US"/>
        </w:rPr>
        <w:t xml:space="preserve">ocial </w:t>
      </w:r>
      <w:r w:rsidR="00BC63AA" w:rsidRPr="00563712">
        <w:rPr>
          <w:rFonts w:ascii="Times New Roman" w:hAnsi="Times New Roman"/>
          <w:color w:val="auto"/>
          <w:lang w:val="en-US"/>
        </w:rPr>
        <w:t>t</w:t>
      </w:r>
      <w:r w:rsidRPr="00563712">
        <w:rPr>
          <w:rFonts w:ascii="Times New Roman" w:hAnsi="Times New Roman"/>
          <w:color w:val="auto"/>
          <w:lang w:val="en-US"/>
        </w:rPr>
        <w:t xml:space="preserve">rust </w:t>
      </w:r>
      <w:bookmarkEnd w:id="10"/>
      <w:bookmarkEnd w:id="11"/>
    </w:p>
    <w:p w14:paraId="634057CE" w14:textId="77777777" w:rsidR="005B3785" w:rsidRPr="00563712" w:rsidRDefault="005B3785" w:rsidP="005B3785">
      <w:pPr>
        <w:spacing w:after="0" w:line="480" w:lineRule="auto"/>
        <w:rPr>
          <w:rFonts w:ascii="Times New Roman" w:hAnsi="Times New Roman"/>
          <w:lang w:val="en-US"/>
        </w:rPr>
      </w:pPr>
    </w:p>
    <w:p w14:paraId="36756E5A" w14:textId="77777777" w:rsidR="00B616F1" w:rsidRPr="00563712" w:rsidRDefault="00B616F1" w:rsidP="005B3785">
      <w:pPr>
        <w:spacing w:after="0" w:line="480" w:lineRule="auto"/>
        <w:rPr>
          <w:rFonts w:ascii="Times New Roman" w:hAnsi="Times New Roman"/>
          <w:lang w:val="en-US"/>
        </w:rPr>
      </w:pPr>
      <w:r w:rsidRPr="00563712">
        <w:rPr>
          <w:rFonts w:ascii="Times New Roman" w:hAnsi="Times New Roman"/>
          <w:lang w:val="en-US"/>
        </w:rPr>
        <w:t xml:space="preserve">Social trust is – for this analysis – an indicator representing the social cohesion of societies, as Rosanvallon claims. The question of whether to trust not only one’s government but also other members of society is – as explained above – most important for legitimizing monetary </w:t>
      </w:r>
      <w:r w:rsidRPr="00563712">
        <w:rPr>
          <w:rFonts w:ascii="Times New Roman" w:hAnsi="Times New Roman"/>
          <w:lang w:val="en-US"/>
        </w:rPr>
        <w:lastRenderedPageBreak/>
        <w:t xml:space="preserve">distributions within these societies. In case middle classes suspect upper classes of avoiding taxation and lower classes of illegally receiving more benefits than they have a legal right to, the middle classes feel exploited by others who do not stick to the rules. This would increase the tendency of social disengagement and a loss of solidarity. </w:t>
      </w:r>
    </w:p>
    <w:p w14:paraId="5217377B" w14:textId="77777777" w:rsidR="00B616F1" w:rsidRPr="00563712" w:rsidRDefault="00B616F1" w:rsidP="005B3785">
      <w:pPr>
        <w:spacing w:after="0" w:line="480" w:lineRule="auto"/>
        <w:rPr>
          <w:rFonts w:ascii="Times New Roman" w:hAnsi="Times New Roman"/>
          <w:lang w:val="en-US"/>
        </w:rPr>
      </w:pPr>
    </w:p>
    <w:p w14:paraId="5FB839C8" w14:textId="77777777" w:rsidR="00B616F1" w:rsidRPr="00563712" w:rsidRDefault="00B616F1" w:rsidP="005B3785">
      <w:pPr>
        <w:spacing w:after="0" w:line="480" w:lineRule="auto"/>
        <w:rPr>
          <w:rFonts w:ascii="Times New Roman" w:hAnsi="Times New Roman"/>
          <w:lang w:val="en-GB"/>
        </w:rPr>
      </w:pPr>
      <w:r w:rsidRPr="00563712">
        <w:rPr>
          <w:rFonts w:ascii="Times New Roman" w:hAnsi="Times New Roman"/>
          <w:noProof/>
          <w:lang w:val="sv-SE" w:eastAsia="sv-SE"/>
        </w:rPr>
        <w:drawing>
          <wp:inline distT="0" distB="0" distL="0" distR="0" wp14:anchorId="282CA2DA" wp14:editId="5370452F">
            <wp:extent cx="5761355" cy="3561715"/>
            <wp:effectExtent l="0" t="0" r="10795" b="19685"/>
            <wp:docPr id="2" name="Diagramm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98D8E2A" w14:textId="77777777" w:rsidR="00B616F1" w:rsidRPr="00563712" w:rsidRDefault="00B616F1" w:rsidP="005B3785">
      <w:pPr>
        <w:pStyle w:val="Beskrivning"/>
        <w:spacing w:after="0" w:line="480" w:lineRule="auto"/>
        <w:rPr>
          <w:rFonts w:ascii="Times New Roman" w:hAnsi="Times New Roman"/>
          <w:b w:val="0"/>
          <w:color w:val="auto"/>
          <w:lang w:val="en-GB"/>
        </w:rPr>
      </w:pPr>
    </w:p>
    <w:p w14:paraId="0693B94D" w14:textId="77777777" w:rsidR="00B616F1" w:rsidRPr="00563712" w:rsidRDefault="00B616F1" w:rsidP="005B3785">
      <w:pPr>
        <w:pStyle w:val="Beskrivning"/>
        <w:spacing w:after="0" w:line="480" w:lineRule="auto"/>
        <w:rPr>
          <w:rFonts w:ascii="Times New Roman" w:hAnsi="Times New Roman"/>
          <w:b w:val="0"/>
          <w:color w:val="auto"/>
          <w:lang w:val="en-US"/>
        </w:rPr>
      </w:pPr>
      <w:r w:rsidRPr="00563712">
        <w:rPr>
          <w:rFonts w:ascii="Times New Roman" w:hAnsi="Times New Roman"/>
          <w:b w:val="0"/>
          <w:color w:val="auto"/>
          <w:lang w:val="en-US"/>
        </w:rPr>
        <w:t xml:space="preserve">Figure </w:t>
      </w:r>
      <w:r w:rsidRPr="00563712">
        <w:rPr>
          <w:rFonts w:ascii="Times New Roman" w:hAnsi="Times New Roman"/>
          <w:b w:val="0"/>
          <w:color w:val="auto"/>
          <w:lang w:val="en-US"/>
        </w:rPr>
        <w:fldChar w:fldCharType="begin"/>
      </w:r>
      <w:r w:rsidRPr="00563712">
        <w:rPr>
          <w:rFonts w:ascii="Times New Roman" w:hAnsi="Times New Roman"/>
          <w:b w:val="0"/>
          <w:color w:val="auto"/>
          <w:lang w:val="en-US"/>
        </w:rPr>
        <w:instrText xml:space="preserve"> SEQ Abbildung \* ARABIC </w:instrText>
      </w:r>
      <w:r w:rsidRPr="00563712">
        <w:rPr>
          <w:rFonts w:ascii="Times New Roman" w:hAnsi="Times New Roman"/>
          <w:b w:val="0"/>
          <w:color w:val="auto"/>
          <w:lang w:val="en-US"/>
        </w:rPr>
        <w:fldChar w:fldCharType="separate"/>
      </w:r>
      <w:r w:rsidRPr="00563712">
        <w:rPr>
          <w:rFonts w:ascii="Times New Roman" w:hAnsi="Times New Roman"/>
          <w:b w:val="0"/>
          <w:noProof/>
          <w:color w:val="auto"/>
          <w:lang w:val="en-US"/>
        </w:rPr>
        <w:t>2</w:t>
      </w:r>
      <w:r w:rsidRPr="00563712">
        <w:rPr>
          <w:rFonts w:ascii="Times New Roman" w:hAnsi="Times New Roman"/>
          <w:b w:val="0"/>
          <w:color w:val="auto"/>
          <w:lang w:val="en-US"/>
        </w:rPr>
        <w:fldChar w:fldCharType="end"/>
      </w:r>
      <w:r w:rsidRPr="00563712">
        <w:rPr>
          <w:rFonts w:ascii="Times New Roman" w:hAnsi="Times New Roman"/>
          <w:b w:val="0"/>
          <w:color w:val="auto"/>
          <w:lang w:val="en-US"/>
        </w:rPr>
        <w:t>: Social Trust (Top Two Negative Answers) by Literacy Level and Country (Source: PIAAC 2012 data).</w:t>
      </w:r>
    </w:p>
    <w:p w14:paraId="6C3882DB" w14:textId="77777777" w:rsidR="00B616F1" w:rsidRPr="00563712" w:rsidRDefault="00B616F1" w:rsidP="005B3785">
      <w:pPr>
        <w:spacing w:line="480" w:lineRule="auto"/>
        <w:rPr>
          <w:rFonts w:ascii="Times New Roman" w:hAnsi="Times New Roman"/>
          <w:lang w:val="en-US"/>
        </w:rPr>
      </w:pPr>
    </w:p>
    <w:p w14:paraId="4F00FB20" w14:textId="77777777" w:rsidR="00B616F1" w:rsidRPr="00563712" w:rsidRDefault="00B616F1" w:rsidP="005B3785">
      <w:pPr>
        <w:spacing w:after="0" w:line="480" w:lineRule="auto"/>
        <w:rPr>
          <w:rFonts w:ascii="Times New Roman" w:hAnsi="Times New Roman"/>
          <w:lang w:val="en-US"/>
        </w:rPr>
      </w:pPr>
      <w:r w:rsidRPr="00563712">
        <w:rPr>
          <w:rFonts w:ascii="Times New Roman" w:hAnsi="Times New Roman"/>
          <w:lang w:val="en-US"/>
        </w:rPr>
        <w:t xml:space="preserve">Compared to other countries, Germany can build upon a rather good structure of social trust. Real solidarity seems to be most widespread in the Nordic countries, with the lowest values for mistrust for both high and low-literate adults. </w:t>
      </w:r>
    </w:p>
    <w:p w14:paraId="73AEE64B" w14:textId="77777777" w:rsidR="00B616F1" w:rsidRPr="00563712" w:rsidRDefault="00B616F1" w:rsidP="005B3785">
      <w:pPr>
        <w:spacing w:after="0" w:line="480" w:lineRule="auto"/>
        <w:rPr>
          <w:rFonts w:ascii="Times New Roman" w:hAnsi="Times New Roman"/>
          <w:lang w:val="en-US"/>
        </w:rPr>
      </w:pPr>
    </w:p>
    <w:p w14:paraId="17C5CC20" w14:textId="77777777" w:rsidR="00B616F1" w:rsidRPr="00563712" w:rsidRDefault="00B616F1" w:rsidP="005B3785">
      <w:pPr>
        <w:spacing w:after="0" w:line="480" w:lineRule="auto"/>
        <w:rPr>
          <w:rFonts w:ascii="Times New Roman" w:hAnsi="Times New Roman"/>
          <w:lang w:val="en-US"/>
        </w:rPr>
      </w:pPr>
      <w:r w:rsidRPr="00563712">
        <w:rPr>
          <w:rFonts w:ascii="Times New Roman" w:hAnsi="Times New Roman"/>
          <w:lang w:val="en-US"/>
        </w:rPr>
        <w:t xml:space="preserve">The international comparison shows again that Germany has quite a large gap between high and low-literate subpopulations and their feelings of social trust (25 percentage points). However, in contrast to the other Nordic countries, Norway has the largest gap, with 30 </w:t>
      </w:r>
      <w:r w:rsidRPr="00563712">
        <w:rPr>
          <w:rFonts w:ascii="Times New Roman" w:hAnsi="Times New Roman"/>
          <w:lang w:val="en-US"/>
        </w:rPr>
        <w:lastRenderedPageBreak/>
        <w:t xml:space="preserve">percentage points. This surprising position in the </w:t>
      </w:r>
      <w:r w:rsidRPr="00563712">
        <w:rPr>
          <w:rFonts w:ascii="Times New Roman" w:hAnsi="Times New Roman"/>
          <w:i/>
          <w:lang w:val="en-US"/>
        </w:rPr>
        <w:t>international</w:t>
      </w:r>
      <w:r w:rsidRPr="00563712">
        <w:rPr>
          <w:rFonts w:ascii="Times New Roman" w:hAnsi="Times New Roman"/>
          <w:lang w:val="en-US"/>
        </w:rPr>
        <w:t xml:space="preserve"> comparison could perhaps be explained by the recent extreme right terrorist act (Utoya</w:t>
      </w:r>
      <w:r w:rsidR="005F3BA9" w:rsidRPr="00563712">
        <w:rPr>
          <w:rFonts w:ascii="Times New Roman" w:hAnsi="Times New Roman"/>
          <w:lang w:val="en-US"/>
        </w:rPr>
        <w:t>,</w:t>
      </w:r>
      <w:r w:rsidRPr="00563712">
        <w:rPr>
          <w:rFonts w:ascii="Times New Roman" w:hAnsi="Times New Roman"/>
          <w:lang w:val="en-US"/>
        </w:rPr>
        <w:t xml:space="preserve"> 2011), but this does not explain the large gap </w:t>
      </w:r>
      <w:r w:rsidRPr="00563712">
        <w:rPr>
          <w:rFonts w:ascii="Times New Roman" w:hAnsi="Times New Roman"/>
          <w:i/>
          <w:lang w:val="en-US"/>
        </w:rPr>
        <w:t>within</w:t>
      </w:r>
      <w:r w:rsidRPr="00563712">
        <w:rPr>
          <w:rFonts w:ascii="Times New Roman" w:hAnsi="Times New Roman"/>
          <w:lang w:val="en-US"/>
        </w:rPr>
        <w:t xml:space="preserve"> Norwegian society. </w:t>
      </w:r>
    </w:p>
    <w:p w14:paraId="1A34AB4A" w14:textId="77777777" w:rsidR="00B616F1" w:rsidRPr="00563712" w:rsidRDefault="00B616F1" w:rsidP="005B3785">
      <w:pPr>
        <w:spacing w:after="0" w:line="480" w:lineRule="auto"/>
        <w:rPr>
          <w:rFonts w:ascii="Times New Roman" w:hAnsi="Times New Roman"/>
          <w:lang w:val="en-US"/>
        </w:rPr>
      </w:pPr>
    </w:p>
    <w:p w14:paraId="719BEA2E" w14:textId="77777777" w:rsidR="00B616F1" w:rsidRPr="00563712" w:rsidRDefault="00B616F1" w:rsidP="005B3785">
      <w:pPr>
        <w:spacing w:after="0" w:line="480" w:lineRule="auto"/>
        <w:rPr>
          <w:rFonts w:ascii="Times New Roman" w:hAnsi="Times New Roman"/>
          <w:lang w:val="en-US"/>
        </w:rPr>
      </w:pPr>
      <w:r w:rsidRPr="00563712">
        <w:rPr>
          <w:rFonts w:ascii="Times New Roman" w:hAnsi="Times New Roman"/>
          <w:lang w:val="en-US"/>
        </w:rPr>
        <w:t xml:space="preserve">Some 80 percent of low-literate Polish adults express social mistrust. This is </w:t>
      </w:r>
      <w:r w:rsidR="00B96922" w:rsidRPr="00563712">
        <w:rPr>
          <w:rFonts w:ascii="Times New Roman" w:hAnsi="Times New Roman"/>
          <w:lang w:val="en-US"/>
        </w:rPr>
        <w:t>higher</w:t>
      </w:r>
      <w:r w:rsidRPr="00563712">
        <w:rPr>
          <w:rFonts w:ascii="Times New Roman" w:hAnsi="Times New Roman"/>
          <w:lang w:val="en-US"/>
        </w:rPr>
        <w:t xml:space="preserve"> than in Germany (76%) but </w:t>
      </w:r>
      <w:r w:rsidR="00B96922" w:rsidRPr="00563712">
        <w:rPr>
          <w:rFonts w:ascii="Times New Roman" w:hAnsi="Times New Roman"/>
          <w:lang w:val="en-US"/>
        </w:rPr>
        <w:t>lower</w:t>
      </w:r>
      <w:r w:rsidRPr="00563712">
        <w:rPr>
          <w:rFonts w:ascii="Times New Roman" w:hAnsi="Times New Roman"/>
          <w:lang w:val="en-US"/>
        </w:rPr>
        <w:t xml:space="preserve"> than in France (85%).</w:t>
      </w:r>
      <w:r w:rsidRPr="00563712">
        <w:rPr>
          <w:rFonts w:ascii="Times New Roman" w:hAnsi="Times New Roman"/>
          <w:vertAlign w:val="superscript"/>
          <w:lang w:val="en-GB"/>
        </w:rPr>
        <w:endnoteReference w:id="15"/>
      </w:r>
      <w:r w:rsidRPr="00563712">
        <w:rPr>
          <w:rFonts w:ascii="Times New Roman" w:hAnsi="Times New Roman"/>
          <w:lang w:val="en-US"/>
        </w:rPr>
        <w:t xml:space="preserve"> Rosanvallon, who explained his theories on a lack of social cohesion based on French and American history, can thus be confirmed for the case of France. The U.S.A. in the year 2012 does not show similarily severe difficulties regarding social trust (76% low-literate adults vs. 53% high-literate adults), but still a considerable number of low-literate adults seem to disconnect with their society. This may have become much worse in the past four years since the data were collected.</w:t>
      </w:r>
    </w:p>
    <w:p w14:paraId="0573DEAD" w14:textId="77777777" w:rsidR="00B616F1" w:rsidRPr="00563712" w:rsidRDefault="00B616F1" w:rsidP="005B3785">
      <w:pPr>
        <w:spacing w:after="0" w:line="480" w:lineRule="auto"/>
        <w:rPr>
          <w:rFonts w:ascii="Times New Roman" w:hAnsi="Times New Roman"/>
          <w:lang w:val="en-US"/>
        </w:rPr>
      </w:pPr>
    </w:p>
    <w:p w14:paraId="49323EFB" w14:textId="77777777" w:rsidR="00B616F1" w:rsidRPr="00563712" w:rsidRDefault="00B616F1" w:rsidP="005B3785">
      <w:pPr>
        <w:spacing w:after="0" w:line="480" w:lineRule="auto"/>
        <w:rPr>
          <w:rFonts w:ascii="Times New Roman" w:hAnsi="Times New Roman"/>
          <w:lang w:val="en-US"/>
        </w:rPr>
      </w:pPr>
      <w:r w:rsidRPr="00563712">
        <w:rPr>
          <w:rFonts w:ascii="Times New Roman" w:hAnsi="Times New Roman"/>
          <w:lang w:val="en-US"/>
        </w:rPr>
        <w:t xml:space="preserve">Intra-national gaps are in all cases much larger than the international differences. </w:t>
      </w:r>
    </w:p>
    <w:p w14:paraId="27A6FC80" w14:textId="77777777" w:rsidR="00B616F1" w:rsidRPr="00563712" w:rsidRDefault="00B616F1" w:rsidP="005B3785">
      <w:pPr>
        <w:spacing w:after="0" w:line="480" w:lineRule="auto"/>
        <w:rPr>
          <w:rFonts w:ascii="Times New Roman" w:hAnsi="Times New Roman"/>
          <w:lang w:val="en-US"/>
        </w:rPr>
      </w:pPr>
    </w:p>
    <w:p w14:paraId="4C3181C2" w14:textId="77777777" w:rsidR="00B616F1" w:rsidRPr="00563712" w:rsidRDefault="00B616F1" w:rsidP="005B3785">
      <w:pPr>
        <w:pStyle w:val="Rubrik2"/>
        <w:spacing w:before="0" w:line="480" w:lineRule="auto"/>
        <w:rPr>
          <w:rFonts w:ascii="Times New Roman" w:hAnsi="Times New Roman"/>
          <w:color w:val="auto"/>
          <w:lang w:val="en-US"/>
        </w:rPr>
      </w:pPr>
      <w:bookmarkStart w:id="12" w:name="_Toc439084897"/>
      <w:bookmarkStart w:id="13" w:name="_Toc453846543"/>
      <w:r w:rsidRPr="00563712">
        <w:rPr>
          <w:rFonts w:ascii="Times New Roman" w:hAnsi="Times New Roman"/>
          <w:color w:val="auto"/>
          <w:lang w:val="en-US"/>
        </w:rPr>
        <w:t>Findings</w:t>
      </w:r>
      <w:r w:rsidR="00731097" w:rsidRPr="00563712">
        <w:rPr>
          <w:rFonts w:ascii="Times New Roman" w:hAnsi="Times New Roman"/>
          <w:color w:val="auto"/>
          <w:lang w:val="en-US"/>
        </w:rPr>
        <w:t xml:space="preserve"> and Discussion: Adults p</w:t>
      </w:r>
      <w:r w:rsidRPr="00563712">
        <w:rPr>
          <w:rFonts w:ascii="Times New Roman" w:hAnsi="Times New Roman"/>
          <w:color w:val="auto"/>
          <w:lang w:val="en-US"/>
        </w:rPr>
        <w:t>erforming</w:t>
      </w:r>
      <w:r w:rsidR="00731097" w:rsidRPr="00563712">
        <w:rPr>
          <w:rFonts w:ascii="Times New Roman" w:hAnsi="Times New Roman"/>
          <w:color w:val="auto"/>
          <w:lang w:val="en-US"/>
        </w:rPr>
        <w:t xml:space="preserve"> at </w:t>
      </w:r>
      <w:r w:rsidR="00BC63AA" w:rsidRPr="00563712">
        <w:rPr>
          <w:rFonts w:ascii="Times New Roman" w:hAnsi="Times New Roman"/>
          <w:color w:val="auto"/>
          <w:lang w:val="en-US"/>
        </w:rPr>
        <w:t>l</w:t>
      </w:r>
      <w:r w:rsidR="00731097" w:rsidRPr="00563712">
        <w:rPr>
          <w:rFonts w:ascii="Times New Roman" w:hAnsi="Times New Roman"/>
          <w:color w:val="auto"/>
          <w:lang w:val="en-US"/>
        </w:rPr>
        <w:t xml:space="preserve">iteracy </w:t>
      </w:r>
      <w:r w:rsidR="00BC63AA" w:rsidRPr="00563712">
        <w:rPr>
          <w:rFonts w:ascii="Times New Roman" w:hAnsi="Times New Roman"/>
          <w:color w:val="auto"/>
          <w:lang w:val="en-US"/>
        </w:rPr>
        <w:t>l</w:t>
      </w:r>
      <w:r w:rsidR="00731097" w:rsidRPr="00563712">
        <w:rPr>
          <w:rFonts w:ascii="Times New Roman" w:hAnsi="Times New Roman"/>
          <w:color w:val="auto"/>
          <w:lang w:val="en-US"/>
        </w:rPr>
        <w:t xml:space="preserve">evel I and below </w:t>
      </w:r>
      <w:r w:rsidR="00BC63AA" w:rsidRPr="00563712">
        <w:rPr>
          <w:rFonts w:ascii="Times New Roman" w:hAnsi="Times New Roman"/>
          <w:color w:val="auto"/>
          <w:lang w:val="en-US"/>
        </w:rPr>
        <w:t>p</w:t>
      </w:r>
      <w:r w:rsidR="00731097" w:rsidRPr="00563712">
        <w:rPr>
          <w:rFonts w:ascii="Times New Roman" w:hAnsi="Times New Roman"/>
          <w:color w:val="auto"/>
          <w:lang w:val="en-US"/>
        </w:rPr>
        <w:t xml:space="preserve">articipate less in </w:t>
      </w:r>
      <w:r w:rsidR="00BC63AA" w:rsidRPr="00563712">
        <w:rPr>
          <w:rFonts w:ascii="Times New Roman" w:hAnsi="Times New Roman"/>
          <w:color w:val="auto"/>
          <w:lang w:val="en-US"/>
        </w:rPr>
        <w:t>v</w:t>
      </w:r>
      <w:r w:rsidRPr="00563712">
        <w:rPr>
          <w:rFonts w:ascii="Times New Roman" w:hAnsi="Times New Roman"/>
          <w:color w:val="auto"/>
          <w:lang w:val="en-US"/>
        </w:rPr>
        <w:t xml:space="preserve">olunteering </w:t>
      </w:r>
      <w:bookmarkEnd w:id="12"/>
      <w:bookmarkEnd w:id="13"/>
    </w:p>
    <w:p w14:paraId="224BBF5A" w14:textId="77777777" w:rsidR="005B3785" w:rsidRPr="00563712" w:rsidRDefault="005B3785" w:rsidP="005B3785">
      <w:pPr>
        <w:spacing w:after="0" w:line="480" w:lineRule="auto"/>
        <w:rPr>
          <w:rFonts w:ascii="Times New Roman" w:hAnsi="Times New Roman"/>
          <w:lang w:val="en-US"/>
        </w:rPr>
      </w:pPr>
    </w:p>
    <w:p w14:paraId="4EF8AB4C" w14:textId="77777777" w:rsidR="00B616F1" w:rsidRPr="00563712" w:rsidRDefault="00B616F1" w:rsidP="005B3785">
      <w:pPr>
        <w:spacing w:after="0" w:line="480" w:lineRule="auto"/>
        <w:rPr>
          <w:rFonts w:ascii="Times New Roman" w:hAnsi="Times New Roman"/>
          <w:lang w:val="en-US"/>
        </w:rPr>
      </w:pPr>
      <w:r w:rsidRPr="00563712">
        <w:rPr>
          <w:rFonts w:ascii="Times New Roman" w:hAnsi="Times New Roman"/>
          <w:lang w:val="en-US"/>
        </w:rPr>
        <w:t>Low feelings of social trust and political efficacy will be mirrored in lesser engagement for the society and community. It can be assumed that low-literate adults participate less often in non-governmental, non-profit organizations.</w:t>
      </w:r>
    </w:p>
    <w:p w14:paraId="34D06704" w14:textId="77777777" w:rsidR="00B616F1" w:rsidRPr="00563712" w:rsidRDefault="00B616F1" w:rsidP="005B3785">
      <w:pPr>
        <w:spacing w:after="0" w:line="480" w:lineRule="auto"/>
        <w:rPr>
          <w:rFonts w:ascii="Times New Roman" w:hAnsi="Times New Roman"/>
          <w:lang w:val="en-US"/>
        </w:rPr>
      </w:pPr>
    </w:p>
    <w:p w14:paraId="3A0CC737" w14:textId="77777777" w:rsidR="00B616F1" w:rsidRPr="00563712" w:rsidRDefault="00B616F1" w:rsidP="005B3785">
      <w:pPr>
        <w:spacing w:after="0" w:line="480" w:lineRule="auto"/>
        <w:rPr>
          <w:rFonts w:ascii="Times New Roman" w:hAnsi="Times New Roman"/>
          <w:lang w:val="en-US"/>
        </w:rPr>
      </w:pPr>
      <w:r w:rsidRPr="00563712">
        <w:rPr>
          <w:rFonts w:ascii="Times New Roman" w:hAnsi="Times New Roman"/>
          <w:lang w:val="en-US"/>
        </w:rPr>
        <w:t>It is important to keep in mind that inclusion and exclusion play a role here. Lower formal education or a migration background correlate with low integration in social organizations in Germany (Albert, Hurrelmann</w:t>
      </w:r>
      <w:r w:rsidR="005F3BA9" w:rsidRPr="00563712">
        <w:rPr>
          <w:rFonts w:ascii="Times New Roman" w:hAnsi="Times New Roman"/>
          <w:lang w:val="en-US"/>
        </w:rPr>
        <w:t>,</w:t>
      </w:r>
      <w:r w:rsidRPr="00563712">
        <w:rPr>
          <w:rFonts w:ascii="Times New Roman" w:hAnsi="Times New Roman"/>
          <w:lang w:val="en-US"/>
        </w:rPr>
        <w:t xml:space="preserve"> &amp; Quenzel</w:t>
      </w:r>
      <w:r w:rsidR="005F3BA9" w:rsidRPr="00563712">
        <w:rPr>
          <w:rFonts w:ascii="Times New Roman" w:hAnsi="Times New Roman"/>
          <w:lang w:val="en-US"/>
        </w:rPr>
        <w:t>,</w:t>
      </w:r>
      <w:r w:rsidRPr="00563712">
        <w:rPr>
          <w:rFonts w:ascii="Times New Roman" w:hAnsi="Times New Roman"/>
          <w:lang w:val="en-US"/>
        </w:rPr>
        <w:t xml:space="preserve"> 2015). Literacy is not necessarily the most relevant factor. We also cannot conclude that low-literate adults are responsible for less </w:t>
      </w:r>
      <w:r w:rsidRPr="00563712">
        <w:rPr>
          <w:rFonts w:ascii="Times New Roman" w:hAnsi="Times New Roman"/>
          <w:lang w:val="en-US"/>
        </w:rPr>
        <w:lastRenderedPageBreak/>
        <w:t xml:space="preserve">volunteering, as they are sometimes smoothly excluded from non-profit organizations by dominant, well-educated groups. </w:t>
      </w:r>
    </w:p>
    <w:p w14:paraId="17435CC1" w14:textId="77777777" w:rsidR="00B616F1" w:rsidRPr="00563712" w:rsidRDefault="00B616F1" w:rsidP="005B3785">
      <w:pPr>
        <w:spacing w:after="0" w:line="480" w:lineRule="auto"/>
        <w:rPr>
          <w:rFonts w:ascii="Times New Roman" w:hAnsi="Times New Roman"/>
          <w:lang w:val="en-US"/>
        </w:rPr>
      </w:pPr>
    </w:p>
    <w:p w14:paraId="0E4A0E71" w14:textId="77777777" w:rsidR="00B616F1" w:rsidRPr="00563712" w:rsidRDefault="00B616F1" w:rsidP="005B3785">
      <w:pPr>
        <w:spacing w:after="0" w:line="480" w:lineRule="auto"/>
        <w:rPr>
          <w:rFonts w:ascii="Times New Roman" w:hAnsi="Times New Roman"/>
          <w:lang w:val="en-US"/>
        </w:rPr>
      </w:pPr>
      <w:r w:rsidRPr="00563712">
        <w:rPr>
          <w:rFonts w:ascii="Times New Roman" w:hAnsi="Times New Roman"/>
          <w:lang w:val="en-US"/>
        </w:rPr>
        <w:t>Furthermore, the welfare regime of the economies and societies respectively is a relevant factor. The question as to whether social security is guaranteed by social law and transfer, or whether it has to be provided by the citizens themselves, does have an impact on the readiness to participate in voluntary work and engage for others in need.</w:t>
      </w:r>
    </w:p>
    <w:p w14:paraId="4A18AC9D" w14:textId="77777777" w:rsidR="00B616F1" w:rsidRPr="00563712" w:rsidRDefault="00B616F1" w:rsidP="005B3785">
      <w:pPr>
        <w:spacing w:after="0" w:line="480" w:lineRule="auto"/>
        <w:rPr>
          <w:rFonts w:ascii="Times New Roman" w:hAnsi="Times New Roman"/>
          <w:lang w:val="en-US"/>
        </w:rPr>
      </w:pPr>
      <w:r w:rsidRPr="00563712">
        <w:rPr>
          <w:rFonts w:ascii="Times New Roman" w:hAnsi="Times New Roman"/>
          <w:lang w:val="en-US"/>
        </w:rPr>
        <w:t xml:space="preserve">In fact, the two extremes, the traditionally neo-liberal, Anglo-American states, with their charity approach on the one hand, and the sociodemocratic Nordic countries, with guaranteed social welfare on the other can be found side by side in the higher ranks of the table. Roughly two thirds of low-literate adults state that they never volunteer (Norway: 62%, USA: 64%), or looked at the other way around, roughly one third do participate in voluntary work. At the other end of the scale, we find France (86%) and Poland (87%), indicating that only some 13 or 14% of their low-literate populations get in touch with voluntary activities. </w:t>
      </w:r>
    </w:p>
    <w:p w14:paraId="2FA2D947" w14:textId="77777777" w:rsidR="00B616F1" w:rsidRPr="00563712" w:rsidRDefault="00B616F1" w:rsidP="005B3785">
      <w:pPr>
        <w:spacing w:after="0" w:line="480" w:lineRule="auto"/>
        <w:rPr>
          <w:rFonts w:ascii="Times New Roman" w:hAnsi="Times New Roman"/>
          <w:lang w:val="en-US"/>
        </w:rPr>
      </w:pPr>
    </w:p>
    <w:p w14:paraId="15765542" w14:textId="77777777" w:rsidR="00B616F1" w:rsidRPr="00563712" w:rsidRDefault="00B616F1" w:rsidP="005B3785">
      <w:pPr>
        <w:spacing w:after="0" w:line="480" w:lineRule="auto"/>
        <w:rPr>
          <w:rFonts w:ascii="Times New Roman" w:hAnsi="Times New Roman"/>
          <w:lang w:val="en-GB"/>
        </w:rPr>
      </w:pPr>
      <w:r w:rsidRPr="00563712">
        <w:rPr>
          <w:rFonts w:ascii="Times New Roman" w:hAnsi="Times New Roman"/>
          <w:noProof/>
          <w:lang w:val="sv-SE" w:eastAsia="sv-SE"/>
        </w:rPr>
        <w:drawing>
          <wp:inline distT="0" distB="0" distL="0" distR="0" wp14:anchorId="151AFA90" wp14:editId="470B1BA9">
            <wp:extent cx="5738495" cy="3429000"/>
            <wp:effectExtent l="0" t="0" r="14605" b="19050"/>
            <wp:docPr id="3" name="Diagramm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7B17DFE" w14:textId="77777777" w:rsidR="00B616F1" w:rsidRPr="00563712" w:rsidRDefault="00B616F1" w:rsidP="005B3785">
      <w:pPr>
        <w:pStyle w:val="Beskrivning"/>
        <w:spacing w:after="0" w:line="480" w:lineRule="auto"/>
        <w:rPr>
          <w:rFonts w:ascii="Times New Roman" w:hAnsi="Times New Roman"/>
          <w:b w:val="0"/>
          <w:color w:val="auto"/>
          <w:lang w:val="en-US"/>
        </w:rPr>
      </w:pPr>
      <w:r w:rsidRPr="00563712">
        <w:rPr>
          <w:rFonts w:ascii="Times New Roman" w:hAnsi="Times New Roman"/>
          <w:b w:val="0"/>
          <w:color w:val="auto"/>
          <w:lang w:val="en-US"/>
        </w:rPr>
        <w:lastRenderedPageBreak/>
        <w:t xml:space="preserve">Figure </w:t>
      </w:r>
      <w:r w:rsidRPr="00563712">
        <w:rPr>
          <w:rFonts w:ascii="Times New Roman" w:hAnsi="Times New Roman"/>
          <w:b w:val="0"/>
          <w:color w:val="auto"/>
          <w:lang w:val="en-GB"/>
        </w:rPr>
        <w:t>3</w:t>
      </w:r>
      <w:r w:rsidRPr="00563712">
        <w:rPr>
          <w:rFonts w:ascii="Times New Roman" w:hAnsi="Times New Roman"/>
          <w:b w:val="0"/>
          <w:color w:val="auto"/>
          <w:lang w:val="en-US"/>
        </w:rPr>
        <w:t>: Volunteering (Answer: Never) by Literacy Level and Country (Source: PIAAC 2012 data). Differences between Germany and Poland/France are significant. Differences between Poland and France are not significant.</w:t>
      </w:r>
    </w:p>
    <w:p w14:paraId="6F3B823D" w14:textId="77777777" w:rsidR="00B616F1" w:rsidRPr="00563712" w:rsidRDefault="00B616F1" w:rsidP="005B3785">
      <w:pPr>
        <w:pStyle w:val="Beskrivning"/>
        <w:spacing w:after="0" w:line="480" w:lineRule="auto"/>
        <w:rPr>
          <w:rFonts w:ascii="Times New Roman" w:hAnsi="Times New Roman"/>
          <w:b w:val="0"/>
          <w:color w:val="auto"/>
          <w:lang w:val="en-US"/>
        </w:rPr>
      </w:pPr>
    </w:p>
    <w:p w14:paraId="59005FDC" w14:textId="77777777" w:rsidR="00B616F1" w:rsidRPr="00563712" w:rsidRDefault="00B616F1" w:rsidP="005B3785">
      <w:pPr>
        <w:spacing w:after="0" w:line="480" w:lineRule="auto"/>
        <w:rPr>
          <w:rFonts w:ascii="Times New Roman" w:hAnsi="Times New Roman"/>
          <w:lang w:val="en-US"/>
        </w:rPr>
      </w:pPr>
      <w:r w:rsidRPr="00563712">
        <w:rPr>
          <w:rFonts w:ascii="Times New Roman" w:hAnsi="Times New Roman"/>
          <w:lang w:val="en-US"/>
        </w:rPr>
        <w:t>Of Germany’s low-literate adults, some 81</w:t>
      </w:r>
      <w:r w:rsidR="005F3BA9" w:rsidRPr="00563712">
        <w:rPr>
          <w:rFonts w:ascii="Times New Roman" w:hAnsi="Times New Roman"/>
          <w:lang w:val="en-US"/>
        </w:rPr>
        <w:t>%</w:t>
      </w:r>
      <w:r w:rsidR="00731097" w:rsidRPr="00563712">
        <w:rPr>
          <w:rFonts w:ascii="Times New Roman" w:hAnsi="Times New Roman"/>
          <w:lang w:val="en-US"/>
        </w:rPr>
        <w:t xml:space="preserve"> </w:t>
      </w:r>
      <w:r w:rsidRPr="00563712">
        <w:rPr>
          <w:rFonts w:ascii="Times New Roman" w:hAnsi="Times New Roman"/>
          <w:lang w:val="en-US"/>
        </w:rPr>
        <w:t xml:space="preserve">state that they never volunteered, compared to high-literate adults, where about half of the group (52%) never entered non-profit organizations. The mechanisms of self-exclusion and external exclusion are not only relevant with regard to employment but also in non-profit organizations, as well as in global and local community activities. The findings are robust across countries. </w:t>
      </w:r>
    </w:p>
    <w:p w14:paraId="7E6A64F1" w14:textId="77777777" w:rsidR="00B616F1" w:rsidRPr="00563712" w:rsidRDefault="00B616F1" w:rsidP="005B3785">
      <w:pPr>
        <w:spacing w:after="0" w:line="480" w:lineRule="auto"/>
        <w:rPr>
          <w:rFonts w:ascii="Times New Roman" w:hAnsi="Times New Roman"/>
          <w:lang w:val="en-US"/>
        </w:rPr>
      </w:pPr>
    </w:p>
    <w:p w14:paraId="52AF7294" w14:textId="77777777" w:rsidR="00B616F1" w:rsidRPr="00563712" w:rsidRDefault="00B616F1" w:rsidP="005B3785">
      <w:pPr>
        <w:spacing w:after="0" w:line="480" w:lineRule="auto"/>
        <w:rPr>
          <w:rFonts w:ascii="Times New Roman" w:hAnsi="Times New Roman"/>
          <w:lang w:val="en-US"/>
        </w:rPr>
      </w:pPr>
      <w:r w:rsidRPr="00563712">
        <w:rPr>
          <w:rFonts w:ascii="Times New Roman" w:hAnsi="Times New Roman"/>
          <w:lang w:val="en-US"/>
        </w:rPr>
        <w:t>Adults performing at level IV and above are most often found volunteering in the US, Norway, Canada, Australia, Denmark and Finland. We assume that Anglo-American societies with a more neoliberal tradition, who give responsibility for social aid to charity and volunteering structures, mix in the ranking with more egalitarian sociodemocratic welfare regimes, which offer public services (and therefore need less volunteering) but also face less social exclusion in their non-profit organizations. The findings for the level I and below subpopulations and the level IV and above subpopulations are quite similar to each other.</w:t>
      </w:r>
    </w:p>
    <w:p w14:paraId="2FCB6984" w14:textId="77777777" w:rsidR="00B616F1" w:rsidRPr="00563712" w:rsidRDefault="00B616F1" w:rsidP="005B3785">
      <w:pPr>
        <w:spacing w:after="0" w:line="480" w:lineRule="auto"/>
        <w:rPr>
          <w:rFonts w:ascii="Times New Roman" w:hAnsi="Times New Roman"/>
          <w:lang w:val="en-US"/>
        </w:rPr>
      </w:pPr>
    </w:p>
    <w:p w14:paraId="299BA6F3" w14:textId="77777777" w:rsidR="00B616F1" w:rsidRPr="00563712" w:rsidRDefault="00731097" w:rsidP="005B3785">
      <w:pPr>
        <w:pStyle w:val="Rubrik1"/>
        <w:numPr>
          <w:ilvl w:val="0"/>
          <w:numId w:val="30"/>
        </w:numPr>
        <w:spacing w:before="0" w:line="480" w:lineRule="auto"/>
        <w:ind w:left="360"/>
        <w:rPr>
          <w:rFonts w:ascii="Times New Roman" w:hAnsi="Times New Roman"/>
          <w:color w:val="auto"/>
          <w:lang w:val="en-US"/>
        </w:rPr>
      </w:pPr>
      <w:bookmarkStart w:id="14" w:name="_Toc453846545"/>
      <w:r w:rsidRPr="00563712">
        <w:rPr>
          <w:rFonts w:ascii="Times New Roman" w:hAnsi="Times New Roman"/>
          <w:color w:val="auto"/>
          <w:lang w:val="en-US"/>
        </w:rPr>
        <w:t xml:space="preserve">Further </w:t>
      </w:r>
      <w:r w:rsidR="00BC63AA" w:rsidRPr="00563712">
        <w:rPr>
          <w:rFonts w:ascii="Times New Roman" w:hAnsi="Times New Roman"/>
          <w:color w:val="auto"/>
          <w:lang w:val="en-US"/>
        </w:rPr>
        <w:t>d</w:t>
      </w:r>
      <w:r w:rsidRPr="00563712">
        <w:rPr>
          <w:rFonts w:ascii="Times New Roman" w:hAnsi="Times New Roman"/>
          <w:color w:val="auto"/>
          <w:lang w:val="en-US"/>
        </w:rPr>
        <w:t xml:space="preserve">iscussion with </w:t>
      </w:r>
      <w:r w:rsidR="00BC63AA" w:rsidRPr="00563712">
        <w:rPr>
          <w:rFonts w:ascii="Times New Roman" w:hAnsi="Times New Roman"/>
          <w:color w:val="auto"/>
          <w:lang w:val="en-US"/>
        </w:rPr>
        <w:t>r</w:t>
      </w:r>
      <w:r w:rsidR="00B616F1" w:rsidRPr="00563712">
        <w:rPr>
          <w:rFonts w:ascii="Times New Roman" w:hAnsi="Times New Roman"/>
          <w:color w:val="auto"/>
          <w:lang w:val="en-US"/>
        </w:rPr>
        <w:t xml:space="preserve">egard to </w:t>
      </w:r>
      <w:bookmarkEnd w:id="14"/>
      <w:r w:rsidR="00BC63AA" w:rsidRPr="00563712">
        <w:rPr>
          <w:rFonts w:ascii="Times New Roman" w:hAnsi="Times New Roman"/>
          <w:color w:val="auto"/>
          <w:lang w:val="en-US"/>
        </w:rPr>
        <w:t>c</w:t>
      </w:r>
      <w:r w:rsidRPr="00563712">
        <w:rPr>
          <w:rFonts w:ascii="Times New Roman" w:hAnsi="Times New Roman"/>
          <w:color w:val="auto"/>
          <w:lang w:val="en-US"/>
        </w:rPr>
        <w:t xml:space="preserve">ontemporary </w:t>
      </w:r>
      <w:r w:rsidR="00BC63AA" w:rsidRPr="00563712">
        <w:rPr>
          <w:rFonts w:ascii="Times New Roman" w:hAnsi="Times New Roman"/>
          <w:color w:val="auto"/>
          <w:lang w:val="en-US"/>
        </w:rPr>
        <w:t>r</w:t>
      </w:r>
      <w:r w:rsidRPr="00563712">
        <w:rPr>
          <w:rFonts w:ascii="Times New Roman" w:hAnsi="Times New Roman"/>
          <w:color w:val="auto"/>
          <w:lang w:val="en-US"/>
        </w:rPr>
        <w:t>ight-</w:t>
      </w:r>
      <w:r w:rsidR="00BC63AA" w:rsidRPr="00563712">
        <w:rPr>
          <w:rFonts w:ascii="Times New Roman" w:hAnsi="Times New Roman"/>
          <w:color w:val="auto"/>
          <w:lang w:val="en-US"/>
        </w:rPr>
        <w:t>w</w:t>
      </w:r>
      <w:r w:rsidRPr="00563712">
        <w:rPr>
          <w:rFonts w:ascii="Times New Roman" w:hAnsi="Times New Roman"/>
          <w:color w:val="auto"/>
          <w:lang w:val="en-US"/>
        </w:rPr>
        <w:t xml:space="preserve">ing </w:t>
      </w:r>
      <w:r w:rsidR="00BC63AA" w:rsidRPr="00563712">
        <w:rPr>
          <w:rFonts w:ascii="Times New Roman" w:hAnsi="Times New Roman"/>
          <w:color w:val="auto"/>
          <w:lang w:val="en-US"/>
        </w:rPr>
        <w:t>p</w:t>
      </w:r>
      <w:r w:rsidR="00B616F1" w:rsidRPr="00563712">
        <w:rPr>
          <w:rFonts w:ascii="Times New Roman" w:hAnsi="Times New Roman"/>
          <w:color w:val="auto"/>
          <w:lang w:val="en-US"/>
        </w:rPr>
        <w:t>opulism</w:t>
      </w:r>
    </w:p>
    <w:p w14:paraId="53608261" w14:textId="77777777" w:rsidR="005B3785" w:rsidRPr="00563712" w:rsidRDefault="005B3785" w:rsidP="005B3785">
      <w:pPr>
        <w:spacing w:after="0" w:line="480" w:lineRule="auto"/>
        <w:rPr>
          <w:rFonts w:ascii="Times New Roman" w:hAnsi="Times New Roman"/>
          <w:lang w:val="en-US"/>
        </w:rPr>
      </w:pPr>
    </w:p>
    <w:p w14:paraId="3876B5BB" w14:textId="77777777" w:rsidR="00B616F1" w:rsidRPr="00563712" w:rsidRDefault="00B616F1" w:rsidP="005B3785">
      <w:pPr>
        <w:spacing w:after="0" w:line="480" w:lineRule="auto"/>
        <w:rPr>
          <w:rFonts w:ascii="Times New Roman" w:hAnsi="Times New Roman"/>
          <w:lang w:val="en-US"/>
        </w:rPr>
      </w:pPr>
      <w:r w:rsidRPr="00563712">
        <w:rPr>
          <w:rFonts w:ascii="Times New Roman" w:hAnsi="Times New Roman"/>
          <w:lang w:val="en-US"/>
        </w:rPr>
        <w:t>Calls for more civic education always become louder when populist, xenophobic and similar groups and parties are founded or elected. Civic education – especially for adults - cannot solve these problems alone, but it is still a relevant factor for prevention and for throwing light onto simplifying populist mechanisms and worldviews. Faced with the increasingly louder voice of nationalism in the political arena, this would seem to be quite necessary these days.</w:t>
      </w:r>
    </w:p>
    <w:p w14:paraId="3D268F64" w14:textId="77777777" w:rsidR="00B616F1" w:rsidRPr="00563712" w:rsidRDefault="00B616F1" w:rsidP="005B3785">
      <w:pPr>
        <w:spacing w:after="0" w:line="480" w:lineRule="auto"/>
        <w:rPr>
          <w:rFonts w:ascii="Times New Roman" w:hAnsi="Times New Roman"/>
          <w:lang w:val="en-US"/>
        </w:rPr>
      </w:pPr>
      <w:r w:rsidRPr="00563712">
        <w:rPr>
          <w:rFonts w:ascii="Times New Roman" w:hAnsi="Times New Roman"/>
          <w:lang w:val="en-US"/>
        </w:rPr>
        <w:t xml:space="preserve">However, by way of an explanation for nationalism and right-wing world views, often a special pattern is reproduced, claiming that economic losers, high unemployment, lack of </w:t>
      </w:r>
      <w:r w:rsidRPr="00563712">
        <w:rPr>
          <w:rFonts w:ascii="Times New Roman" w:hAnsi="Times New Roman"/>
          <w:lang w:val="en-US"/>
        </w:rPr>
        <w:lastRenderedPageBreak/>
        <w:t>perspectives for youth, low education and feelings of exclusion would lead to xenophobia (Heitmeyer</w:t>
      </w:r>
      <w:r w:rsidR="005F3BA9" w:rsidRPr="00563712">
        <w:rPr>
          <w:rFonts w:ascii="Times New Roman" w:hAnsi="Times New Roman"/>
          <w:lang w:val="en-US"/>
        </w:rPr>
        <w:t>,</w:t>
      </w:r>
      <w:r w:rsidRPr="00563712">
        <w:rPr>
          <w:rFonts w:ascii="Times New Roman" w:hAnsi="Times New Roman"/>
          <w:lang w:val="en-US"/>
        </w:rPr>
        <w:t> 2002). These explanations are tempting, but they ignore the fact that populists who act willingly to spread their right-wing ideology and try to recruit members for their movement or parties from such socioeconomic losers are needed. Thus, Heitmeyer’s unpolitical interpretation of neofascist activities in Germany has been fundamentally criticized (Dierbach</w:t>
      </w:r>
      <w:r w:rsidR="005F3BA9" w:rsidRPr="00563712">
        <w:rPr>
          <w:rFonts w:ascii="Times New Roman" w:hAnsi="Times New Roman"/>
          <w:lang w:val="en-US"/>
        </w:rPr>
        <w:t>,</w:t>
      </w:r>
      <w:r w:rsidRPr="00563712">
        <w:rPr>
          <w:rFonts w:ascii="Times New Roman" w:hAnsi="Times New Roman"/>
          <w:lang w:val="en-US"/>
        </w:rPr>
        <w:t xml:space="preserve"> 2010). </w:t>
      </w:r>
    </w:p>
    <w:p w14:paraId="0B57BB9C" w14:textId="77777777" w:rsidR="0075084D" w:rsidRPr="00563712" w:rsidRDefault="0075084D" w:rsidP="005B3785">
      <w:pPr>
        <w:spacing w:after="0" w:line="480" w:lineRule="auto"/>
        <w:rPr>
          <w:rFonts w:ascii="Times New Roman" w:hAnsi="Times New Roman"/>
          <w:lang w:val="en-US"/>
        </w:rPr>
      </w:pPr>
    </w:p>
    <w:p w14:paraId="3FC4FFB4" w14:textId="77777777" w:rsidR="00B616F1" w:rsidRPr="00563712" w:rsidRDefault="00B616F1" w:rsidP="005B3785">
      <w:pPr>
        <w:spacing w:after="0" w:line="480" w:lineRule="auto"/>
        <w:rPr>
          <w:rFonts w:ascii="Times New Roman" w:hAnsi="Times New Roman"/>
          <w:lang w:val="en-US"/>
        </w:rPr>
      </w:pPr>
      <w:r w:rsidRPr="00563712">
        <w:rPr>
          <w:rFonts w:ascii="Times New Roman" w:hAnsi="Times New Roman"/>
          <w:lang w:val="en-US"/>
        </w:rPr>
        <w:t>Sociological indicators, like an increasing divide between incomes, as well as the delegitimization of social transfers, which are shown above, can only be interpreted as the soil where neofascist or populist, xenophobic or nationalist seeds can grow. But it always needs people who willingly want to spread their right-wing ideology. Indeed, socially losing groups may equally feel attracted to left-wing approaches like Syriza or Podemos, who may listen to their needs and bring them to the political arena. That is the reason why political or civic education can be successful.</w:t>
      </w:r>
    </w:p>
    <w:p w14:paraId="0392606E" w14:textId="77777777" w:rsidR="0075084D" w:rsidRPr="00563712" w:rsidRDefault="0075084D" w:rsidP="005B3785">
      <w:pPr>
        <w:spacing w:after="0" w:line="480" w:lineRule="auto"/>
        <w:rPr>
          <w:rFonts w:ascii="Times New Roman" w:hAnsi="Times New Roman"/>
          <w:lang w:val="en-US"/>
        </w:rPr>
      </w:pPr>
    </w:p>
    <w:p w14:paraId="218A0CBE" w14:textId="77777777" w:rsidR="00B616F1" w:rsidRPr="00563712" w:rsidRDefault="00B616F1" w:rsidP="005B3785">
      <w:pPr>
        <w:spacing w:after="0" w:line="480" w:lineRule="auto"/>
        <w:rPr>
          <w:rFonts w:ascii="Times New Roman" w:hAnsi="Times New Roman"/>
          <w:lang w:val="en-US"/>
        </w:rPr>
      </w:pPr>
      <w:r w:rsidRPr="00563712">
        <w:rPr>
          <w:rFonts w:ascii="Times New Roman" w:hAnsi="Times New Roman"/>
          <w:lang w:val="en-US"/>
        </w:rPr>
        <w:t xml:space="preserve">Furthermore, the Leipzig Surveys on the </w:t>
      </w:r>
      <w:r w:rsidRPr="00563712">
        <w:rPr>
          <w:rFonts w:ascii="Times New Roman" w:hAnsi="Times New Roman"/>
          <w:i/>
          <w:lang w:val="en-US"/>
        </w:rPr>
        <w:t>economic middle classes</w:t>
      </w:r>
      <w:r w:rsidRPr="00563712">
        <w:rPr>
          <w:rFonts w:ascii="Times New Roman" w:hAnsi="Times New Roman"/>
          <w:lang w:val="en-US"/>
        </w:rPr>
        <w:t xml:space="preserve"> and the </w:t>
      </w:r>
      <w:r w:rsidRPr="00563712">
        <w:rPr>
          <w:rFonts w:ascii="Times New Roman" w:hAnsi="Times New Roman"/>
          <w:i/>
          <w:lang w:val="en-US"/>
        </w:rPr>
        <w:t>political centre</w:t>
      </w:r>
      <w:r w:rsidRPr="00563712">
        <w:rPr>
          <w:rFonts w:ascii="Times New Roman" w:hAnsi="Times New Roman"/>
          <w:lang w:val="en-US"/>
        </w:rPr>
        <w:t xml:space="preserve"> (so-called „Mitte-Studien“, Decker et al.</w:t>
      </w:r>
      <w:r w:rsidR="005F3BA9" w:rsidRPr="00563712">
        <w:rPr>
          <w:rFonts w:ascii="Times New Roman" w:hAnsi="Times New Roman"/>
          <w:lang w:val="en-US"/>
        </w:rPr>
        <w:t>,</w:t>
      </w:r>
      <w:r w:rsidRPr="00563712">
        <w:rPr>
          <w:rFonts w:ascii="Times New Roman" w:hAnsi="Times New Roman"/>
          <w:lang w:val="en-US"/>
        </w:rPr>
        <w:t xml:space="preserve"> 2016) point at the fact that right-wing populism becomes dangerous </w:t>
      </w:r>
      <w:r w:rsidRPr="00563712">
        <w:rPr>
          <w:rFonts w:ascii="Times New Roman" w:hAnsi="Times New Roman"/>
          <w:i/>
          <w:lang w:val="en-US"/>
        </w:rPr>
        <w:t>when</w:t>
      </w:r>
      <w:r w:rsidRPr="00563712">
        <w:rPr>
          <w:rFonts w:ascii="Times New Roman" w:hAnsi="Times New Roman"/>
          <w:lang w:val="en-US"/>
        </w:rPr>
        <w:t xml:space="preserve"> and </w:t>
      </w:r>
      <w:r w:rsidRPr="00563712">
        <w:rPr>
          <w:rFonts w:ascii="Times New Roman" w:hAnsi="Times New Roman"/>
          <w:i/>
          <w:lang w:val="en-US"/>
        </w:rPr>
        <w:t>because</w:t>
      </w:r>
      <w:r w:rsidRPr="00563712">
        <w:rPr>
          <w:rFonts w:ascii="Times New Roman" w:hAnsi="Times New Roman"/>
          <w:lang w:val="en-US"/>
        </w:rPr>
        <w:t xml:space="preserve"> it is accepted by the middle and center of societies.</w:t>
      </w:r>
    </w:p>
    <w:p w14:paraId="48179204" w14:textId="77777777" w:rsidR="0075084D" w:rsidRPr="00563712" w:rsidRDefault="0075084D" w:rsidP="005B3785">
      <w:pPr>
        <w:spacing w:after="0" w:line="480" w:lineRule="auto"/>
        <w:rPr>
          <w:rFonts w:ascii="Times New Roman" w:hAnsi="Times New Roman"/>
          <w:lang w:val="en-US"/>
        </w:rPr>
      </w:pPr>
    </w:p>
    <w:p w14:paraId="4B4977BF" w14:textId="77777777" w:rsidR="005F3BA9" w:rsidRPr="00563712" w:rsidRDefault="00B616F1" w:rsidP="005B3785">
      <w:pPr>
        <w:spacing w:after="0" w:line="480" w:lineRule="auto"/>
        <w:rPr>
          <w:rFonts w:ascii="Times New Roman" w:hAnsi="Times New Roman"/>
          <w:lang w:val="en-US"/>
        </w:rPr>
      </w:pPr>
      <w:r w:rsidRPr="00563712">
        <w:rPr>
          <w:rFonts w:ascii="Times New Roman" w:hAnsi="Times New Roman"/>
          <w:lang w:val="en-US"/>
        </w:rPr>
        <w:t xml:space="preserve">But nevertheless, the decrease of social cohesion always shows up a paradox regarding the lower classes and their participation in elections. Butterwegge argues: </w:t>
      </w:r>
    </w:p>
    <w:p w14:paraId="5C83C17D" w14:textId="77777777" w:rsidR="005F3BA9" w:rsidRPr="00563712" w:rsidRDefault="005F3BA9" w:rsidP="005B3785">
      <w:pPr>
        <w:spacing w:after="0" w:line="480" w:lineRule="auto"/>
        <w:rPr>
          <w:rFonts w:ascii="Times New Roman" w:hAnsi="Times New Roman"/>
          <w:lang w:val="en-US"/>
        </w:rPr>
      </w:pPr>
    </w:p>
    <w:p w14:paraId="45A2AFDA" w14:textId="77777777" w:rsidR="005F3BA9" w:rsidRPr="00563712" w:rsidRDefault="00B616F1" w:rsidP="007E2ED9">
      <w:pPr>
        <w:spacing w:after="0" w:line="480" w:lineRule="auto"/>
        <w:ind w:left="708"/>
        <w:rPr>
          <w:rFonts w:ascii="Times New Roman" w:hAnsi="Times New Roman"/>
          <w:lang w:val="en-US"/>
        </w:rPr>
      </w:pPr>
      <w:r w:rsidRPr="00563712">
        <w:rPr>
          <w:rFonts w:ascii="Times New Roman" w:hAnsi="Times New Roman"/>
          <w:lang w:val="en-US"/>
        </w:rPr>
        <w:t xml:space="preserve">People who belong to lower classes or receive social benefit are underrepresented in elections, that is, many of them do not vote. Politicians then learn that lower classes seldom vote, so acting towards their needs would not result in winning elections – as a </w:t>
      </w:r>
      <w:r w:rsidRPr="00563712">
        <w:rPr>
          <w:rFonts w:ascii="Times New Roman" w:hAnsi="Times New Roman"/>
          <w:lang w:val="en-US"/>
        </w:rPr>
        <w:lastRenderedPageBreak/>
        <w:t xml:space="preserve">consequence, politicians care more for the middle classes and their claims and disregard the lower classes (Butterwegge, 2015). </w:t>
      </w:r>
    </w:p>
    <w:p w14:paraId="0D411710" w14:textId="77777777" w:rsidR="005F3BA9" w:rsidRPr="00563712" w:rsidRDefault="005F3BA9" w:rsidP="005B3785">
      <w:pPr>
        <w:spacing w:after="0" w:line="480" w:lineRule="auto"/>
        <w:rPr>
          <w:rFonts w:ascii="Times New Roman" w:hAnsi="Times New Roman"/>
          <w:lang w:val="en-US"/>
        </w:rPr>
      </w:pPr>
    </w:p>
    <w:p w14:paraId="151E84A0" w14:textId="77777777" w:rsidR="00B616F1" w:rsidRPr="00563712" w:rsidRDefault="00B616F1" w:rsidP="005B3785">
      <w:pPr>
        <w:spacing w:after="0" w:line="480" w:lineRule="auto"/>
        <w:rPr>
          <w:rFonts w:ascii="Times New Roman" w:hAnsi="Times New Roman"/>
          <w:lang w:val="en-US"/>
        </w:rPr>
      </w:pPr>
      <w:r w:rsidRPr="00563712">
        <w:rPr>
          <w:rFonts w:ascii="Times New Roman" w:hAnsi="Times New Roman"/>
          <w:lang w:val="en-US"/>
        </w:rPr>
        <w:t>If this assumption is true, lower classes, receivers of benefits as well as the low-literate among them were quite right in assuming they do not have any say in what the government does.</w:t>
      </w:r>
    </w:p>
    <w:p w14:paraId="4ED2B05C" w14:textId="77777777" w:rsidR="005B3785" w:rsidRPr="00563712" w:rsidRDefault="005B3785" w:rsidP="005B3785">
      <w:pPr>
        <w:spacing w:after="0" w:line="480" w:lineRule="auto"/>
        <w:rPr>
          <w:rFonts w:ascii="Times New Roman" w:hAnsi="Times New Roman"/>
          <w:lang w:val="en-US"/>
        </w:rPr>
      </w:pPr>
    </w:p>
    <w:p w14:paraId="03C4A925" w14:textId="77777777" w:rsidR="00B616F1" w:rsidRPr="00563712" w:rsidRDefault="00731097" w:rsidP="005B3785">
      <w:pPr>
        <w:pStyle w:val="Rubrik1"/>
        <w:numPr>
          <w:ilvl w:val="0"/>
          <w:numId w:val="30"/>
        </w:numPr>
        <w:spacing w:before="0" w:line="480" w:lineRule="auto"/>
        <w:ind w:left="357" w:hanging="357"/>
        <w:rPr>
          <w:rFonts w:ascii="Times New Roman" w:hAnsi="Times New Roman"/>
          <w:color w:val="auto"/>
          <w:lang w:val="en-GB"/>
        </w:rPr>
      </w:pPr>
      <w:bookmarkStart w:id="15" w:name="_Toc453846547"/>
      <w:r w:rsidRPr="00563712">
        <w:rPr>
          <w:rFonts w:ascii="Times New Roman" w:hAnsi="Times New Roman"/>
          <w:color w:val="auto"/>
          <w:lang w:val="en-GB"/>
        </w:rPr>
        <w:t xml:space="preserve">Conclusions: </w:t>
      </w:r>
      <w:r w:rsidR="00BC63AA" w:rsidRPr="00563712">
        <w:rPr>
          <w:rFonts w:ascii="Times New Roman" w:hAnsi="Times New Roman"/>
          <w:color w:val="auto"/>
          <w:lang w:val="en-GB"/>
        </w:rPr>
        <w:t>R</w:t>
      </w:r>
      <w:r w:rsidRPr="00563712">
        <w:rPr>
          <w:rFonts w:ascii="Times New Roman" w:hAnsi="Times New Roman"/>
          <w:color w:val="auto"/>
          <w:lang w:val="en-GB"/>
        </w:rPr>
        <w:t xml:space="preserve">elevance of </w:t>
      </w:r>
      <w:r w:rsidR="00BC63AA" w:rsidRPr="00563712">
        <w:rPr>
          <w:rFonts w:ascii="Times New Roman" w:hAnsi="Times New Roman"/>
          <w:color w:val="auto"/>
          <w:lang w:val="en-GB"/>
        </w:rPr>
        <w:t>p</w:t>
      </w:r>
      <w:r w:rsidRPr="00563712">
        <w:rPr>
          <w:rFonts w:ascii="Times New Roman" w:hAnsi="Times New Roman"/>
          <w:color w:val="auto"/>
          <w:lang w:val="en-GB"/>
        </w:rPr>
        <w:t xml:space="preserve">olitical </w:t>
      </w:r>
      <w:r w:rsidR="00BC63AA" w:rsidRPr="00563712">
        <w:rPr>
          <w:rFonts w:ascii="Times New Roman" w:hAnsi="Times New Roman"/>
          <w:color w:val="auto"/>
          <w:lang w:val="en-GB"/>
        </w:rPr>
        <w:t>l</w:t>
      </w:r>
      <w:r w:rsidRPr="00563712">
        <w:rPr>
          <w:rFonts w:ascii="Times New Roman" w:hAnsi="Times New Roman"/>
          <w:color w:val="auto"/>
          <w:lang w:val="en-GB"/>
        </w:rPr>
        <w:t xml:space="preserve">iteracy and </w:t>
      </w:r>
      <w:r w:rsidR="00BC63AA" w:rsidRPr="00563712">
        <w:rPr>
          <w:rFonts w:ascii="Times New Roman" w:hAnsi="Times New Roman"/>
          <w:color w:val="auto"/>
          <w:lang w:val="en-GB"/>
        </w:rPr>
        <w:t>b</w:t>
      </w:r>
      <w:r w:rsidRPr="00563712">
        <w:rPr>
          <w:rFonts w:ascii="Times New Roman" w:hAnsi="Times New Roman"/>
          <w:color w:val="auto"/>
          <w:lang w:val="en-GB"/>
        </w:rPr>
        <w:t xml:space="preserve">asic </w:t>
      </w:r>
      <w:r w:rsidR="00BC63AA" w:rsidRPr="00563712">
        <w:rPr>
          <w:rFonts w:ascii="Times New Roman" w:hAnsi="Times New Roman"/>
          <w:color w:val="auto"/>
          <w:lang w:val="en-GB"/>
        </w:rPr>
        <w:t>c</w:t>
      </w:r>
      <w:r w:rsidRPr="00563712">
        <w:rPr>
          <w:rFonts w:ascii="Times New Roman" w:hAnsi="Times New Roman"/>
          <w:color w:val="auto"/>
          <w:lang w:val="en-GB"/>
        </w:rPr>
        <w:t xml:space="preserve">ivic </w:t>
      </w:r>
      <w:r w:rsidR="00BC63AA" w:rsidRPr="00563712">
        <w:rPr>
          <w:rFonts w:ascii="Times New Roman" w:hAnsi="Times New Roman"/>
          <w:color w:val="auto"/>
          <w:lang w:val="en-GB"/>
        </w:rPr>
        <w:t>e</w:t>
      </w:r>
      <w:r w:rsidR="00B616F1" w:rsidRPr="00563712">
        <w:rPr>
          <w:rFonts w:ascii="Times New Roman" w:hAnsi="Times New Roman"/>
          <w:color w:val="auto"/>
          <w:lang w:val="en-GB"/>
        </w:rPr>
        <w:t>ducation?</w:t>
      </w:r>
      <w:bookmarkEnd w:id="15"/>
    </w:p>
    <w:p w14:paraId="2A999D40" w14:textId="77777777" w:rsidR="005B3785" w:rsidRPr="00563712" w:rsidRDefault="00483B19" w:rsidP="005B3785">
      <w:pPr>
        <w:spacing w:after="0" w:line="480" w:lineRule="auto"/>
        <w:rPr>
          <w:rFonts w:ascii="Times New Roman" w:hAnsi="Times New Roman"/>
          <w:lang w:val="en-GB"/>
        </w:rPr>
      </w:pPr>
      <w:r w:rsidRPr="00563712">
        <w:rPr>
          <w:rFonts w:ascii="Times New Roman" w:hAnsi="Times New Roman"/>
          <w:lang w:val="en-GB"/>
        </w:rPr>
        <w:t xml:space="preserve">Conclusions here rely on two aspects of the article. The </w:t>
      </w:r>
      <w:r w:rsidRPr="00563712">
        <w:rPr>
          <w:rFonts w:ascii="Times New Roman" w:hAnsi="Times New Roman"/>
          <w:i/>
          <w:lang w:val="en-GB"/>
        </w:rPr>
        <w:t>theoretical</w:t>
      </w:r>
      <w:r w:rsidRPr="00563712">
        <w:rPr>
          <w:rFonts w:ascii="Times New Roman" w:hAnsi="Times New Roman"/>
          <w:lang w:val="en-GB"/>
        </w:rPr>
        <w:t xml:space="preserve"> discussion informs about the mechanisms of material spread of income (Piketty) and its legitimization (Rosanvallon) in current societies – and their impact on different classes within the social distribution. The </w:t>
      </w:r>
      <w:r w:rsidRPr="00563712">
        <w:rPr>
          <w:rFonts w:ascii="Times New Roman" w:hAnsi="Times New Roman"/>
          <w:i/>
          <w:lang w:val="en-GB"/>
        </w:rPr>
        <w:t>empirical</w:t>
      </w:r>
      <w:r w:rsidRPr="00563712">
        <w:rPr>
          <w:rFonts w:ascii="Times New Roman" w:hAnsi="Times New Roman"/>
          <w:lang w:val="en-GB"/>
        </w:rPr>
        <w:t xml:space="preserve"> results about adults and their feeling of </w:t>
      </w:r>
      <w:r w:rsidRPr="00563712">
        <w:rPr>
          <w:rFonts w:ascii="Times New Roman" w:hAnsi="Times New Roman"/>
          <w:i/>
          <w:lang w:val="en-GB"/>
        </w:rPr>
        <w:t>political efficacy</w:t>
      </w:r>
      <w:r w:rsidRPr="00563712">
        <w:rPr>
          <w:rFonts w:ascii="Times New Roman" w:hAnsi="Times New Roman"/>
          <w:lang w:val="en-GB"/>
        </w:rPr>
        <w:t xml:space="preserve"> and </w:t>
      </w:r>
      <w:r w:rsidRPr="00563712">
        <w:rPr>
          <w:rFonts w:ascii="Times New Roman" w:hAnsi="Times New Roman"/>
          <w:i/>
          <w:lang w:val="en-GB"/>
        </w:rPr>
        <w:t>social trust</w:t>
      </w:r>
      <w:r w:rsidRPr="00563712">
        <w:rPr>
          <w:rFonts w:ascii="Times New Roman" w:hAnsi="Times New Roman"/>
          <w:lang w:val="en-GB"/>
        </w:rPr>
        <w:t xml:space="preserve"> as well as their participation opportunities in </w:t>
      </w:r>
      <w:r w:rsidRPr="00563712">
        <w:rPr>
          <w:rFonts w:ascii="Times New Roman" w:hAnsi="Times New Roman"/>
          <w:i/>
          <w:lang w:val="en-GB"/>
        </w:rPr>
        <w:t>voluntary activities</w:t>
      </w:r>
      <w:r w:rsidRPr="00563712">
        <w:rPr>
          <w:rFonts w:ascii="Times New Roman" w:hAnsi="Times New Roman"/>
          <w:lang w:val="en-GB"/>
        </w:rPr>
        <w:t xml:space="preserve"> show large gaps between low-literate and high literate adults in all countries.</w:t>
      </w:r>
    </w:p>
    <w:p w14:paraId="62326B8D" w14:textId="77777777" w:rsidR="00483B19" w:rsidRPr="00563712" w:rsidRDefault="00483B19" w:rsidP="005B3785">
      <w:pPr>
        <w:spacing w:after="0" w:line="480" w:lineRule="auto"/>
        <w:rPr>
          <w:rFonts w:ascii="Times New Roman" w:hAnsi="Times New Roman"/>
          <w:lang w:val="en-GB"/>
        </w:rPr>
      </w:pPr>
    </w:p>
    <w:p w14:paraId="4354EF1E" w14:textId="77777777" w:rsidR="00B616F1" w:rsidRPr="00563712" w:rsidRDefault="00B616F1" w:rsidP="005B3785">
      <w:pPr>
        <w:spacing w:after="0" w:line="480" w:lineRule="auto"/>
        <w:rPr>
          <w:rFonts w:ascii="Times New Roman" w:hAnsi="Times New Roman"/>
          <w:lang w:val="en-US"/>
        </w:rPr>
      </w:pPr>
      <w:r w:rsidRPr="00563712">
        <w:rPr>
          <w:rFonts w:ascii="Times New Roman" w:hAnsi="Times New Roman"/>
          <w:lang w:val="en-US"/>
        </w:rPr>
        <w:t>The question as to whether all social classes can influence their societies‘ politics and whether governments and societies can rely on a certain degree of social cohesion and solidarity, seems highly relevant in times of refugees and migrants coming to Europe or at least trying to do so. Disengagement and decreasing solidarity, as Rosanvallon states, develop because of the feeling of having too littl</w:t>
      </w:r>
      <w:r w:rsidR="005F3BA9" w:rsidRPr="00563712">
        <w:rPr>
          <w:rFonts w:ascii="Times New Roman" w:hAnsi="Times New Roman"/>
          <w:lang w:val="en-US"/>
        </w:rPr>
        <w:t xml:space="preserve">e influence on the government. </w:t>
      </w:r>
      <w:r w:rsidRPr="00563712">
        <w:rPr>
          <w:rFonts w:ascii="Times New Roman" w:hAnsi="Times New Roman"/>
          <w:lang w:val="en-US"/>
        </w:rPr>
        <w:t xml:space="preserve">The narrative of equal chances delegitimizes taxation and social benefit and leads to conflicts regarding the spread of income and capital. Each social class can have the feeling that the other social classes take too much out of the commons and give back too little: </w:t>
      </w:r>
    </w:p>
    <w:p w14:paraId="2C662525" w14:textId="77777777" w:rsidR="005B3785" w:rsidRPr="00563712" w:rsidRDefault="005B3785" w:rsidP="005B3785">
      <w:pPr>
        <w:spacing w:after="0" w:line="480" w:lineRule="auto"/>
        <w:rPr>
          <w:rFonts w:ascii="Times New Roman" w:hAnsi="Times New Roman"/>
          <w:lang w:val="en-US"/>
        </w:rPr>
      </w:pPr>
    </w:p>
    <w:p w14:paraId="65ABCEB6" w14:textId="77777777" w:rsidR="00B616F1" w:rsidRPr="00563712" w:rsidRDefault="00B616F1" w:rsidP="005B3785">
      <w:pPr>
        <w:pStyle w:val="Liststycke"/>
        <w:numPr>
          <w:ilvl w:val="0"/>
          <w:numId w:val="17"/>
        </w:numPr>
        <w:spacing w:after="0" w:line="480" w:lineRule="auto"/>
        <w:contextualSpacing w:val="0"/>
        <w:rPr>
          <w:rFonts w:ascii="Times New Roman" w:hAnsi="Times New Roman"/>
          <w:lang w:val="en-US"/>
        </w:rPr>
      </w:pPr>
      <w:r w:rsidRPr="00563712">
        <w:rPr>
          <w:rFonts w:ascii="Times New Roman" w:hAnsi="Times New Roman"/>
          <w:lang w:val="en-US"/>
        </w:rPr>
        <w:t>At the top end of the social hierarchy, spectacular cases of tax avoidance, extreme CEO incomes and corruption are reported.</w:t>
      </w:r>
    </w:p>
    <w:p w14:paraId="0B2606E5" w14:textId="77777777" w:rsidR="006C7B44" w:rsidRPr="00563712" w:rsidRDefault="00B616F1" w:rsidP="005B3785">
      <w:pPr>
        <w:pStyle w:val="Liststycke"/>
        <w:numPr>
          <w:ilvl w:val="0"/>
          <w:numId w:val="17"/>
        </w:numPr>
        <w:spacing w:after="0" w:line="480" w:lineRule="auto"/>
        <w:contextualSpacing w:val="0"/>
        <w:rPr>
          <w:rFonts w:ascii="Times New Roman" w:hAnsi="Times New Roman"/>
          <w:lang w:val="en-US"/>
        </w:rPr>
      </w:pPr>
      <w:r w:rsidRPr="00563712">
        <w:rPr>
          <w:rFonts w:ascii="Times New Roman" w:hAnsi="Times New Roman"/>
          <w:lang w:val="en-US"/>
        </w:rPr>
        <w:lastRenderedPageBreak/>
        <w:t>Those who receive social benefit are shamed (by governments!) as unemployed</w:t>
      </w:r>
      <w:r w:rsidRPr="00563712">
        <w:rPr>
          <w:rFonts w:ascii="Times New Roman" w:hAnsi="Times New Roman"/>
          <w:i/>
          <w:lang w:val="en-US"/>
        </w:rPr>
        <w:t xml:space="preserve"> lazybones</w:t>
      </w:r>
      <w:r w:rsidRPr="00563712">
        <w:rPr>
          <w:rStyle w:val="Slutnotsreferens"/>
          <w:rFonts w:ascii="Times New Roman" w:hAnsi="Times New Roman"/>
          <w:lang w:val="en-GB"/>
        </w:rPr>
        <w:endnoteReference w:id="16"/>
      </w:r>
      <w:r w:rsidRPr="00563712">
        <w:rPr>
          <w:rFonts w:ascii="Times New Roman" w:hAnsi="Times New Roman"/>
          <w:lang w:val="en-US"/>
        </w:rPr>
        <w:t xml:space="preserve"> or migrants only </w:t>
      </w:r>
      <w:r w:rsidRPr="00563712">
        <w:rPr>
          <w:rFonts w:ascii="Times New Roman" w:hAnsi="Times New Roman"/>
          <w:i/>
          <w:lang w:val="en-US"/>
        </w:rPr>
        <w:t>simulating their will</w:t>
      </w:r>
      <w:r w:rsidRPr="00563712">
        <w:rPr>
          <w:rFonts w:ascii="Times New Roman" w:hAnsi="Times New Roman"/>
          <w:lang w:val="en-US"/>
        </w:rPr>
        <w:t xml:space="preserve"> </w:t>
      </w:r>
      <w:r w:rsidRPr="00563712">
        <w:rPr>
          <w:rFonts w:ascii="Times New Roman" w:hAnsi="Times New Roman"/>
          <w:i/>
          <w:lang w:val="en-US"/>
        </w:rPr>
        <w:t>to integrate</w:t>
      </w:r>
      <w:r w:rsidRPr="00563712">
        <w:rPr>
          <w:rStyle w:val="Slutnotsreferens"/>
          <w:rFonts w:ascii="Times New Roman" w:hAnsi="Times New Roman"/>
          <w:lang w:val="en-GB"/>
        </w:rPr>
        <w:endnoteReference w:id="17"/>
      </w:r>
      <w:r w:rsidRPr="00563712">
        <w:rPr>
          <w:rFonts w:ascii="Times New Roman" w:hAnsi="Times New Roman"/>
          <w:lang w:val="en-US"/>
        </w:rPr>
        <w:t xml:space="preserve"> </w:t>
      </w:r>
      <w:r w:rsidR="006C7B44" w:rsidRPr="00563712">
        <w:rPr>
          <w:rFonts w:ascii="Times New Roman" w:hAnsi="Times New Roman"/>
          <w:lang w:val="en-US"/>
        </w:rPr>
        <w:t>into German society</w:t>
      </w:r>
      <w:r w:rsidR="008A348B" w:rsidRPr="00563712">
        <w:rPr>
          <w:rFonts w:ascii="Times New Roman" w:hAnsi="Times New Roman"/>
          <w:lang w:val="en-US"/>
        </w:rPr>
        <w:t>.</w:t>
      </w:r>
    </w:p>
    <w:p w14:paraId="4CE32C73" w14:textId="77777777" w:rsidR="00D917DF" w:rsidRPr="00563712" w:rsidRDefault="006C7B44" w:rsidP="005B3785">
      <w:pPr>
        <w:pStyle w:val="Liststycke"/>
        <w:numPr>
          <w:ilvl w:val="0"/>
          <w:numId w:val="17"/>
        </w:numPr>
        <w:spacing w:after="0" w:line="480" w:lineRule="auto"/>
        <w:contextualSpacing w:val="0"/>
        <w:rPr>
          <w:rFonts w:ascii="Times New Roman" w:hAnsi="Times New Roman"/>
          <w:lang w:val="en-US"/>
        </w:rPr>
      </w:pPr>
      <w:r w:rsidRPr="00563712">
        <w:rPr>
          <w:rFonts w:ascii="Times New Roman" w:hAnsi="Times New Roman"/>
          <w:lang w:val="en-US"/>
        </w:rPr>
        <w:t>Parts of the middle clas</w:t>
      </w:r>
      <w:r w:rsidR="005B0B7D" w:rsidRPr="00563712">
        <w:rPr>
          <w:rFonts w:ascii="Times New Roman" w:hAnsi="Times New Roman"/>
          <w:lang w:val="en-US"/>
        </w:rPr>
        <w:t>s</w:t>
      </w:r>
      <w:r w:rsidRPr="00563712">
        <w:rPr>
          <w:rFonts w:ascii="Times New Roman" w:hAnsi="Times New Roman"/>
          <w:lang w:val="en-US"/>
        </w:rPr>
        <w:t>es</w:t>
      </w:r>
      <w:r w:rsidR="008A348B" w:rsidRPr="00563712">
        <w:rPr>
          <w:rFonts w:ascii="Times New Roman" w:hAnsi="Times New Roman"/>
          <w:lang w:val="en-US"/>
        </w:rPr>
        <w:t xml:space="preserve"> </w:t>
      </w:r>
      <w:r w:rsidR="005B0B7D" w:rsidRPr="00563712">
        <w:rPr>
          <w:rFonts w:ascii="Times New Roman" w:hAnsi="Times New Roman"/>
          <w:lang w:val="en-US"/>
        </w:rPr>
        <w:t xml:space="preserve">try to keep together what they understand as theirs, protecting it against others by voting </w:t>
      </w:r>
      <w:r w:rsidR="008A348B" w:rsidRPr="00563712">
        <w:rPr>
          <w:rFonts w:ascii="Times New Roman" w:hAnsi="Times New Roman"/>
          <w:lang w:val="en-US"/>
        </w:rPr>
        <w:t>for populist parties and fight</w:t>
      </w:r>
      <w:r w:rsidR="005B0B7D" w:rsidRPr="00563712">
        <w:rPr>
          <w:rFonts w:ascii="Times New Roman" w:hAnsi="Times New Roman"/>
          <w:lang w:val="en-US"/>
        </w:rPr>
        <w:t>ing</w:t>
      </w:r>
      <w:r w:rsidR="008A348B" w:rsidRPr="00563712">
        <w:rPr>
          <w:rFonts w:ascii="Times New Roman" w:hAnsi="Times New Roman"/>
          <w:lang w:val="en-US"/>
        </w:rPr>
        <w:t xml:space="preserve"> against elites and migrants</w:t>
      </w:r>
      <w:r w:rsidR="00D917DF" w:rsidRPr="00563712">
        <w:rPr>
          <w:rFonts w:ascii="Times New Roman" w:hAnsi="Times New Roman"/>
          <w:lang w:val="en-US"/>
        </w:rPr>
        <w:t xml:space="preserve">. </w:t>
      </w:r>
    </w:p>
    <w:p w14:paraId="422D0687" w14:textId="77777777" w:rsidR="005B3785" w:rsidRPr="00563712" w:rsidRDefault="005B3785" w:rsidP="005B3785">
      <w:pPr>
        <w:spacing w:after="0" w:line="480" w:lineRule="auto"/>
        <w:rPr>
          <w:rFonts w:ascii="Times New Roman" w:hAnsi="Times New Roman"/>
          <w:lang w:val="en-US"/>
        </w:rPr>
      </w:pPr>
    </w:p>
    <w:p w14:paraId="54603F36" w14:textId="77777777" w:rsidR="005B0B7D" w:rsidRPr="00563712" w:rsidRDefault="005B0B7D" w:rsidP="005B3785">
      <w:pPr>
        <w:spacing w:after="0" w:line="480" w:lineRule="auto"/>
        <w:rPr>
          <w:rFonts w:ascii="Times New Roman" w:hAnsi="Times New Roman"/>
          <w:lang w:val="en-US"/>
        </w:rPr>
      </w:pPr>
      <w:r w:rsidRPr="00563712">
        <w:rPr>
          <w:rFonts w:ascii="Times New Roman" w:hAnsi="Times New Roman"/>
          <w:lang w:val="en-US"/>
        </w:rPr>
        <w:t>The core question is whether these activities are carried out by a few people (and just made visible via mass media) within a solidari</w:t>
      </w:r>
      <w:r w:rsidR="00245B08" w:rsidRPr="00563712">
        <w:rPr>
          <w:rFonts w:ascii="Times New Roman" w:hAnsi="Times New Roman"/>
          <w:lang w:val="en-US"/>
        </w:rPr>
        <w:t>t</w:t>
      </w:r>
      <w:r w:rsidRPr="00563712">
        <w:rPr>
          <w:rFonts w:ascii="Times New Roman" w:hAnsi="Times New Roman"/>
          <w:lang w:val="en-US"/>
        </w:rPr>
        <w:t>y society</w:t>
      </w:r>
      <w:r w:rsidR="00245B08" w:rsidRPr="00563712">
        <w:rPr>
          <w:rFonts w:ascii="Times New Roman" w:hAnsi="Times New Roman"/>
          <w:lang w:val="en-US"/>
        </w:rPr>
        <w:t>,</w:t>
      </w:r>
      <w:r w:rsidRPr="00563712">
        <w:rPr>
          <w:rFonts w:ascii="Times New Roman" w:hAnsi="Times New Roman"/>
          <w:lang w:val="en-US"/>
        </w:rPr>
        <w:t xml:space="preserve"> or whether the</w:t>
      </w:r>
      <w:r w:rsidR="00245B08" w:rsidRPr="00563712">
        <w:rPr>
          <w:rFonts w:ascii="Times New Roman" w:hAnsi="Times New Roman"/>
          <w:lang w:val="en-US"/>
        </w:rPr>
        <w:t>se</w:t>
      </w:r>
      <w:r w:rsidRPr="00563712">
        <w:rPr>
          <w:rFonts w:ascii="Times New Roman" w:hAnsi="Times New Roman"/>
          <w:lang w:val="en-US"/>
        </w:rPr>
        <w:t xml:space="preserve"> few are already the majority. The parts of a society who </w:t>
      </w:r>
      <w:r w:rsidR="00245B08" w:rsidRPr="00563712">
        <w:rPr>
          <w:rFonts w:ascii="Times New Roman" w:hAnsi="Times New Roman"/>
          <w:lang w:val="en-US"/>
        </w:rPr>
        <w:t xml:space="preserve">agree </w:t>
      </w:r>
      <w:r w:rsidRPr="00563712">
        <w:rPr>
          <w:rFonts w:ascii="Times New Roman" w:hAnsi="Times New Roman"/>
          <w:lang w:val="en-US"/>
        </w:rPr>
        <w:t xml:space="preserve">to fund social benefits </w:t>
      </w:r>
      <w:r w:rsidR="00245B08" w:rsidRPr="00563712">
        <w:rPr>
          <w:rFonts w:ascii="Times New Roman" w:hAnsi="Times New Roman"/>
          <w:lang w:val="en-US"/>
        </w:rPr>
        <w:t xml:space="preserve">through </w:t>
      </w:r>
      <w:r w:rsidRPr="00563712">
        <w:rPr>
          <w:rFonts w:ascii="Times New Roman" w:hAnsi="Times New Roman"/>
          <w:lang w:val="en-US"/>
        </w:rPr>
        <w:t xml:space="preserve">their taxes </w:t>
      </w:r>
      <w:r w:rsidR="00245B08" w:rsidRPr="00563712">
        <w:rPr>
          <w:rFonts w:ascii="Times New Roman" w:hAnsi="Times New Roman"/>
          <w:lang w:val="en-US"/>
        </w:rPr>
        <w:t>are</w:t>
      </w:r>
      <w:r w:rsidRPr="00563712">
        <w:rPr>
          <w:rFonts w:ascii="Times New Roman" w:hAnsi="Times New Roman"/>
          <w:lang w:val="en-US"/>
        </w:rPr>
        <w:t xml:space="preserve"> rather relevant for welfare regimes. The findings about political efficacy, social trust and volunteering thus can be read as indicators, pointing at the quality of social cohesion and solidarity in western societies.</w:t>
      </w:r>
    </w:p>
    <w:p w14:paraId="0B65D01D" w14:textId="77777777" w:rsidR="005B0B7D" w:rsidRPr="00563712" w:rsidRDefault="005B0B7D" w:rsidP="005B3785">
      <w:pPr>
        <w:spacing w:after="0" w:line="480" w:lineRule="auto"/>
        <w:rPr>
          <w:rFonts w:ascii="Times New Roman" w:hAnsi="Times New Roman"/>
          <w:lang w:val="en-US"/>
        </w:rPr>
      </w:pPr>
    </w:p>
    <w:p w14:paraId="5BEDA5AD" w14:textId="77777777" w:rsidR="00EE4EC2" w:rsidRPr="00563712" w:rsidRDefault="005B0B7D" w:rsidP="005B3785">
      <w:pPr>
        <w:spacing w:after="0" w:line="480" w:lineRule="auto"/>
        <w:rPr>
          <w:rFonts w:ascii="Times New Roman" w:hAnsi="Times New Roman"/>
          <w:lang w:val="en-US"/>
        </w:rPr>
      </w:pPr>
      <w:r w:rsidRPr="00563712">
        <w:rPr>
          <w:rFonts w:ascii="Times New Roman" w:hAnsi="Times New Roman"/>
          <w:lang w:val="en-US"/>
        </w:rPr>
        <w:t>For</w:t>
      </w:r>
      <w:r w:rsidR="00245B08" w:rsidRPr="00563712">
        <w:rPr>
          <w:rFonts w:ascii="Times New Roman" w:hAnsi="Times New Roman"/>
          <w:lang w:val="en-US"/>
        </w:rPr>
        <w:t xml:space="preserve"> </w:t>
      </w:r>
      <w:r w:rsidRPr="00563712">
        <w:rPr>
          <w:rFonts w:ascii="Times New Roman" w:hAnsi="Times New Roman"/>
          <w:lang w:val="en-US"/>
        </w:rPr>
        <w:t>the question of literacy and i</w:t>
      </w:r>
      <w:r w:rsidR="00245B08" w:rsidRPr="00563712">
        <w:rPr>
          <w:rFonts w:ascii="Times New Roman" w:hAnsi="Times New Roman"/>
          <w:lang w:val="en-US"/>
        </w:rPr>
        <w:t>t</w:t>
      </w:r>
      <w:r w:rsidRPr="00563712">
        <w:rPr>
          <w:rFonts w:ascii="Times New Roman" w:hAnsi="Times New Roman"/>
          <w:lang w:val="en-US"/>
        </w:rPr>
        <w:t>s correlation with political efficacy, social trust and volunte</w:t>
      </w:r>
      <w:r w:rsidR="00245B08" w:rsidRPr="00563712">
        <w:rPr>
          <w:rFonts w:ascii="Times New Roman" w:hAnsi="Times New Roman"/>
          <w:lang w:val="en-US"/>
        </w:rPr>
        <w:t>e</w:t>
      </w:r>
      <w:r w:rsidRPr="00563712">
        <w:rPr>
          <w:rFonts w:ascii="Times New Roman" w:hAnsi="Times New Roman"/>
          <w:lang w:val="en-US"/>
        </w:rPr>
        <w:t>ring</w:t>
      </w:r>
      <w:r w:rsidR="00245B08" w:rsidRPr="00563712">
        <w:rPr>
          <w:rFonts w:ascii="Times New Roman" w:hAnsi="Times New Roman"/>
          <w:lang w:val="en-US"/>
        </w:rPr>
        <w:t>,</w:t>
      </w:r>
      <w:r w:rsidRPr="00563712">
        <w:rPr>
          <w:rFonts w:ascii="Times New Roman" w:hAnsi="Times New Roman"/>
          <w:lang w:val="en-US"/>
        </w:rPr>
        <w:t xml:space="preserve"> the findings confirm the thesis that all three indicators show lower results for subpopulations with low literacy skills</w:t>
      </w:r>
      <w:r w:rsidR="00EE4EC2" w:rsidRPr="00563712">
        <w:rPr>
          <w:rFonts w:ascii="Times New Roman" w:hAnsi="Times New Roman"/>
          <w:lang w:val="en-US"/>
        </w:rPr>
        <w:t>.</w:t>
      </w:r>
      <w:r w:rsidRPr="00563712">
        <w:rPr>
          <w:rFonts w:ascii="Times New Roman" w:hAnsi="Times New Roman"/>
          <w:lang w:val="en-US"/>
        </w:rPr>
        <w:t xml:space="preserve"> </w:t>
      </w:r>
      <w:r w:rsidR="00B96922" w:rsidRPr="00563712">
        <w:rPr>
          <w:rFonts w:ascii="Times New Roman" w:hAnsi="Times New Roman"/>
          <w:lang w:val="en-US"/>
        </w:rPr>
        <w:t>This is confirmed by qualitative research recently carried out in Germany with low-literate adults  (</w:t>
      </w:r>
      <w:r w:rsidR="007A4ABE" w:rsidRPr="00563712">
        <w:rPr>
          <w:rFonts w:ascii="Times New Roman" w:hAnsi="Times New Roman"/>
          <w:lang w:val="en-US"/>
        </w:rPr>
        <w:t xml:space="preserve">cf. </w:t>
      </w:r>
      <w:r w:rsidR="00B96922" w:rsidRPr="00563712">
        <w:rPr>
          <w:rFonts w:ascii="Times New Roman" w:hAnsi="Times New Roman"/>
          <w:lang w:val="en-US"/>
        </w:rPr>
        <w:t xml:space="preserve">Pape 2011). </w:t>
      </w:r>
      <w:r w:rsidRPr="00563712">
        <w:rPr>
          <w:rFonts w:ascii="Times New Roman" w:hAnsi="Times New Roman"/>
          <w:lang w:val="en-US"/>
        </w:rPr>
        <w:t>This situation is dissatisfying for democratic societies with a tax-paid social welfare system.</w:t>
      </w:r>
      <w:r w:rsidR="00EE4EC2" w:rsidRPr="00563712">
        <w:rPr>
          <w:rFonts w:ascii="Times New Roman" w:hAnsi="Times New Roman"/>
          <w:lang w:val="en-US"/>
        </w:rPr>
        <w:t xml:space="preserve"> </w:t>
      </w:r>
      <w:r w:rsidRPr="00563712">
        <w:rPr>
          <w:rFonts w:ascii="Times New Roman" w:hAnsi="Times New Roman"/>
          <w:lang w:val="en-US"/>
        </w:rPr>
        <w:t xml:space="preserve">But it is also dissatisfying because the results can be interpreted as rather </w:t>
      </w:r>
      <w:r w:rsidR="00245B08" w:rsidRPr="00563712">
        <w:rPr>
          <w:rFonts w:ascii="Times New Roman" w:hAnsi="Times New Roman"/>
          <w:lang w:val="en-US"/>
        </w:rPr>
        <w:t>fewer</w:t>
      </w:r>
      <w:r w:rsidRPr="00563712">
        <w:rPr>
          <w:rFonts w:ascii="Times New Roman" w:hAnsi="Times New Roman"/>
          <w:lang w:val="en-US"/>
        </w:rPr>
        <w:t xml:space="preserve"> possibilities for political participation for low-literate adults. </w:t>
      </w:r>
      <w:r w:rsidR="00840059" w:rsidRPr="00563712">
        <w:rPr>
          <w:rFonts w:ascii="Times New Roman" w:hAnsi="Times New Roman"/>
          <w:lang w:val="en-US"/>
        </w:rPr>
        <w:t>Feelings of political efficacy correlate with taking political action (both in conventional ways</w:t>
      </w:r>
      <w:r w:rsidR="00245B08" w:rsidRPr="00563712">
        <w:rPr>
          <w:rFonts w:ascii="Times New Roman" w:hAnsi="Times New Roman"/>
          <w:lang w:val="en-US"/>
        </w:rPr>
        <w:t>,</w:t>
      </w:r>
      <w:r w:rsidR="00840059" w:rsidRPr="00563712">
        <w:rPr>
          <w:rFonts w:ascii="Times New Roman" w:hAnsi="Times New Roman"/>
          <w:lang w:val="en-US"/>
        </w:rPr>
        <w:t xml:space="preserve"> like voting</w:t>
      </w:r>
      <w:r w:rsidR="00245B08" w:rsidRPr="00563712">
        <w:rPr>
          <w:rFonts w:ascii="Times New Roman" w:hAnsi="Times New Roman"/>
          <w:lang w:val="en-US"/>
        </w:rPr>
        <w:t>,</w:t>
      </w:r>
      <w:r w:rsidR="00840059" w:rsidRPr="00563712">
        <w:rPr>
          <w:rFonts w:ascii="Times New Roman" w:hAnsi="Times New Roman"/>
          <w:lang w:val="en-US"/>
        </w:rPr>
        <w:t xml:space="preserve"> as well as in unorthodox ways</w:t>
      </w:r>
      <w:r w:rsidR="00245B08" w:rsidRPr="00563712">
        <w:rPr>
          <w:rFonts w:ascii="Times New Roman" w:hAnsi="Times New Roman"/>
          <w:lang w:val="en-US"/>
        </w:rPr>
        <w:t>,</w:t>
      </w:r>
      <w:r w:rsidR="00840059" w:rsidRPr="00563712">
        <w:rPr>
          <w:rFonts w:ascii="Times New Roman" w:hAnsi="Times New Roman"/>
          <w:lang w:val="en-US"/>
        </w:rPr>
        <w:t xml:space="preserve"> like the blockad</w:t>
      </w:r>
      <w:r w:rsidR="00245B08" w:rsidRPr="00563712">
        <w:rPr>
          <w:rFonts w:ascii="Times New Roman" w:hAnsi="Times New Roman"/>
          <w:lang w:val="en-US"/>
        </w:rPr>
        <w:t>ing</w:t>
      </w:r>
      <w:r w:rsidR="00840059" w:rsidRPr="00563712">
        <w:rPr>
          <w:rFonts w:ascii="Times New Roman" w:hAnsi="Times New Roman"/>
          <w:lang w:val="en-US"/>
        </w:rPr>
        <w:t xml:space="preserve"> of crossroads or public areas), as the political scientist </w:t>
      </w:r>
      <w:r w:rsidR="00EE4EC2" w:rsidRPr="00563712">
        <w:rPr>
          <w:rFonts w:ascii="Times New Roman" w:hAnsi="Times New Roman"/>
          <w:lang w:val="en-US"/>
        </w:rPr>
        <w:t xml:space="preserve">Angelika Vetter </w:t>
      </w:r>
      <w:r w:rsidR="00840059" w:rsidRPr="00563712">
        <w:rPr>
          <w:rFonts w:ascii="Times New Roman" w:hAnsi="Times New Roman"/>
          <w:lang w:val="en-US"/>
        </w:rPr>
        <w:t xml:space="preserve">shows </w:t>
      </w:r>
      <w:r w:rsidR="00EE4EC2" w:rsidRPr="00563712">
        <w:rPr>
          <w:rFonts w:ascii="Times New Roman" w:hAnsi="Times New Roman"/>
          <w:lang w:val="en-US"/>
        </w:rPr>
        <w:t xml:space="preserve">(1998, </w:t>
      </w:r>
      <w:r w:rsidR="005F3BA9" w:rsidRPr="00563712">
        <w:rPr>
          <w:rFonts w:ascii="Times New Roman" w:hAnsi="Times New Roman"/>
          <w:lang w:val="en-US"/>
        </w:rPr>
        <w:t>p. </w:t>
      </w:r>
      <w:r w:rsidR="00EE4EC2" w:rsidRPr="00563712">
        <w:rPr>
          <w:rFonts w:ascii="Times New Roman" w:hAnsi="Times New Roman"/>
          <w:lang w:val="en-US"/>
        </w:rPr>
        <w:t>34</w:t>
      </w:r>
      <w:r w:rsidR="005F3BA9" w:rsidRPr="00563712">
        <w:rPr>
          <w:rFonts w:ascii="Times New Roman" w:hAnsi="Times New Roman"/>
          <w:lang w:val="en-US"/>
        </w:rPr>
        <w:t xml:space="preserve"> et seqq.</w:t>
      </w:r>
      <w:r w:rsidR="00EE4EC2" w:rsidRPr="00563712">
        <w:rPr>
          <w:rFonts w:ascii="Times New Roman" w:hAnsi="Times New Roman"/>
          <w:lang w:val="en-US"/>
        </w:rPr>
        <w:t xml:space="preserve">). </w:t>
      </w:r>
      <w:r w:rsidR="00840059" w:rsidRPr="00563712">
        <w:rPr>
          <w:rFonts w:ascii="Times New Roman" w:hAnsi="Times New Roman"/>
          <w:lang w:val="en-US"/>
        </w:rPr>
        <w:t xml:space="preserve">Relatively small parameter values for political efficacy – which can be shown for low-literate adults in all participating OECD countries – indicate restricted possibilities for political participation. </w:t>
      </w:r>
    </w:p>
    <w:p w14:paraId="46F9C014" w14:textId="77777777" w:rsidR="005B3785" w:rsidRPr="00563712" w:rsidRDefault="005B3785" w:rsidP="005B3785">
      <w:pPr>
        <w:spacing w:after="0" w:line="480" w:lineRule="auto"/>
        <w:rPr>
          <w:rFonts w:ascii="Times New Roman" w:hAnsi="Times New Roman"/>
          <w:lang w:val="en-US"/>
        </w:rPr>
      </w:pPr>
    </w:p>
    <w:p w14:paraId="764A9E1F" w14:textId="77777777" w:rsidR="00840059" w:rsidRPr="00563712" w:rsidRDefault="00840059" w:rsidP="005B3785">
      <w:pPr>
        <w:spacing w:after="0" w:line="480" w:lineRule="auto"/>
        <w:rPr>
          <w:rFonts w:ascii="Times New Roman" w:hAnsi="Times New Roman"/>
          <w:lang w:val="en-US"/>
        </w:rPr>
      </w:pPr>
      <w:r w:rsidRPr="00563712">
        <w:rPr>
          <w:rFonts w:ascii="Times New Roman" w:hAnsi="Times New Roman"/>
          <w:lang w:val="en-US"/>
        </w:rPr>
        <w:lastRenderedPageBreak/>
        <w:t xml:space="preserve">This </w:t>
      </w:r>
      <w:r w:rsidR="00245B08" w:rsidRPr="00563712">
        <w:rPr>
          <w:rFonts w:ascii="Times New Roman" w:hAnsi="Times New Roman"/>
          <w:lang w:val="en-US"/>
        </w:rPr>
        <w:t>bring</w:t>
      </w:r>
      <w:r w:rsidRPr="00563712">
        <w:rPr>
          <w:rFonts w:ascii="Times New Roman" w:hAnsi="Times New Roman"/>
          <w:lang w:val="en-US"/>
        </w:rPr>
        <w:t>s</w:t>
      </w:r>
      <w:r w:rsidR="00245B08" w:rsidRPr="00563712">
        <w:rPr>
          <w:rFonts w:ascii="Times New Roman" w:hAnsi="Times New Roman"/>
          <w:lang w:val="en-US"/>
        </w:rPr>
        <w:t xml:space="preserve"> us back</w:t>
      </w:r>
      <w:r w:rsidRPr="00563712">
        <w:rPr>
          <w:rFonts w:ascii="Times New Roman" w:hAnsi="Times New Roman"/>
          <w:lang w:val="en-US"/>
        </w:rPr>
        <w:t xml:space="preserve"> to the question asked at the beginning of this paper</w:t>
      </w:r>
      <w:r w:rsidR="00245B08" w:rsidRPr="00563712">
        <w:rPr>
          <w:rFonts w:ascii="Times New Roman" w:hAnsi="Times New Roman"/>
          <w:lang w:val="en-US"/>
        </w:rPr>
        <w:t>:</w:t>
      </w:r>
      <w:r w:rsidRPr="00563712">
        <w:rPr>
          <w:rFonts w:ascii="Times New Roman" w:hAnsi="Times New Roman"/>
          <w:lang w:val="en-US"/>
        </w:rPr>
        <w:t xml:space="preserve"> </w:t>
      </w:r>
      <w:r w:rsidR="00245B08" w:rsidRPr="00563712">
        <w:rPr>
          <w:rFonts w:ascii="Times New Roman" w:hAnsi="Times New Roman"/>
          <w:lang w:val="en-US"/>
        </w:rPr>
        <w:t>i</w:t>
      </w:r>
      <w:r w:rsidRPr="00563712">
        <w:rPr>
          <w:rFonts w:ascii="Times New Roman" w:hAnsi="Times New Roman"/>
          <w:lang w:val="en-US"/>
        </w:rPr>
        <w:t>f less participation in employment and work life, a higher risk of ex</w:t>
      </w:r>
      <w:r w:rsidR="00245B08" w:rsidRPr="00563712">
        <w:rPr>
          <w:rFonts w:ascii="Times New Roman" w:hAnsi="Times New Roman"/>
          <w:lang w:val="en-US"/>
        </w:rPr>
        <w:t>c</w:t>
      </w:r>
      <w:r w:rsidRPr="00563712">
        <w:rPr>
          <w:rFonts w:ascii="Times New Roman" w:hAnsi="Times New Roman"/>
          <w:lang w:val="en-US"/>
        </w:rPr>
        <w:t>lusion from the labor market</w:t>
      </w:r>
      <w:r w:rsidR="007E58B2" w:rsidRPr="00563712">
        <w:rPr>
          <w:rFonts w:ascii="Times New Roman" w:hAnsi="Times New Roman"/>
          <w:lang w:val="en-US"/>
        </w:rPr>
        <w:t>,</w:t>
      </w:r>
      <w:r w:rsidRPr="00563712">
        <w:rPr>
          <w:rFonts w:ascii="Times New Roman" w:hAnsi="Times New Roman"/>
          <w:lang w:val="en-US"/>
        </w:rPr>
        <w:t xml:space="preserve"> and low income</w:t>
      </w:r>
      <w:r w:rsidR="00245B08" w:rsidRPr="00563712">
        <w:rPr>
          <w:rFonts w:ascii="Times New Roman" w:hAnsi="Times New Roman"/>
          <w:lang w:val="en-US"/>
        </w:rPr>
        <w:t>s</w:t>
      </w:r>
      <w:r w:rsidRPr="00563712">
        <w:rPr>
          <w:rFonts w:ascii="Times New Roman" w:hAnsi="Times New Roman"/>
          <w:lang w:val="en-US"/>
        </w:rPr>
        <w:t xml:space="preserve"> in </w:t>
      </w:r>
      <w:r w:rsidR="00245B08" w:rsidRPr="00563712">
        <w:rPr>
          <w:rFonts w:ascii="Times New Roman" w:hAnsi="Times New Roman"/>
          <w:lang w:val="en-US"/>
        </w:rPr>
        <w:t xml:space="preserve">menial </w:t>
      </w:r>
      <w:r w:rsidRPr="00563712">
        <w:rPr>
          <w:rFonts w:ascii="Times New Roman" w:hAnsi="Times New Roman"/>
          <w:lang w:val="en-US"/>
        </w:rPr>
        <w:t>jobs are a reason to start programs on workforce literacy</w:t>
      </w:r>
      <w:r w:rsidR="00B32593" w:rsidRPr="00563712">
        <w:rPr>
          <w:rFonts w:ascii="Times New Roman" w:hAnsi="Times New Roman"/>
          <w:lang w:val="en-US"/>
        </w:rPr>
        <w:t>,</w:t>
      </w:r>
      <w:r w:rsidRPr="00563712">
        <w:rPr>
          <w:rFonts w:ascii="Times New Roman" w:hAnsi="Times New Roman"/>
          <w:lang w:val="en-US"/>
        </w:rPr>
        <w:t xml:space="preserve"> shouldn’t the findings of this analysis lead to a discussion on political literacy? S</w:t>
      </w:r>
      <w:r w:rsidR="007E58B2" w:rsidRPr="00563712">
        <w:rPr>
          <w:rFonts w:ascii="Times New Roman" w:hAnsi="Times New Roman"/>
          <w:lang w:val="en-US"/>
        </w:rPr>
        <w:t>houldn’</w:t>
      </w:r>
      <w:r w:rsidRPr="00563712">
        <w:rPr>
          <w:rFonts w:ascii="Times New Roman" w:hAnsi="Times New Roman"/>
          <w:lang w:val="en-US"/>
        </w:rPr>
        <w:t xml:space="preserve">t the terms (political literacy, civic education, basic civic education) be discussed and didactical approaches be offered? </w:t>
      </w:r>
    </w:p>
    <w:p w14:paraId="27A109D1" w14:textId="77777777" w:rsidR="005B3785" w:rsidRPr="00563712" w:rsidRDefault="005B3785" w:rsidP="005B3785">
      <w:pPr>
        <w:spacing w:after="0" w:line="480" w:lineRule="auto"/>
        <w:rPr>
          <w:rFonts w:ascii="Times New Roman" w:hAnsi="Times New Roman"/>
          <w:lang w:val="en-US"/>
        </w:rPr>
      </w:pPr>
    </w:p>
    <w:p w14:paraId="680268D2" w14:textId="77777777" w:rsidR="00090448" w:rsidRPr="00563712" w:rsidRDefault="00A46FEF" w:rsidP="005B3785">
      <w:pPr>
        <w:spacing w:after="0" w:line="480" w:lineRule="auto"/>
        <w:rPr>
          <w:rFonts w:ascii="Times New Roman" w:hAnsi="Times New Roman"/>
          <w:lang w:val="en-US"/>
        </w:rPr>
      </w:pPr>
      <w:r w:rsidRPr="00563712">
        <w:rPr>
          <w:rFonts w:ascii="Times New Roman" w:hAnsi="Times New Roman"/>
          <w:lang w:val="en-US"/>
        </w:rPr>
        <w:t>Apart from this sociological reason for political literacy provision</w:t>
      </w:r>
      <w:r w:rsidR="00B32593" w:rsidRPr="00563712">
        <w:rPr>
          <w:rFonts w:ascii="Times New Roman" w:hAnsi="Times New Roman"/>
          <w:lang w:val="en-US"/>
        </w:rPr>
        <w:t>,</w:t>
      </w:r>
      <w:r w:rsidRPr="00563712">
        <w:rPr>
          <w:rFonts w:ascii="Times New Roman" w:hAnsi="Times New Roman"/>
          <w:lang w:val="en-US"/>
        </w:rPr>
        <w:t xml:space="preserve"> several scholars claim for an emancipatory approach </w:t>
      </w:r>
      <w:r w:rsidR="00060AF4" w:rsidRPr="00563712">
        <w:rPr>
          <w:rFonts w:ascii="Times New Roman" w:hAnsi="Times New Roman"/>
          <w:lang w:val="en-US"/>
        </w:rPr>
        <w:t xml:space="preserve">anyway </w:t>
      </w:r>
      <w:r w:rsidRPr="00563712">
        <w:rPr>
          <w:rFonts w:ascii="Times New Roman" w:hAnsi="Times New Roman"/>
          <w:lang w:val="en-US"/>
        </w:rPr>
        <w:t xml:space="preserve">(cf. </w:t>
      </w:r>
      <w:r w:rsidR="00D93655" w:rsidRPr="00563712">
        <w:rPr>
          <w:rFonts w:ascii="Times New Roman" w:hAnsi="Times New Roman"/>
          <w:lang w:val="en-US"/>
        </w:rPr>
        <w:t>Ribolits</w:t>
      </w:r>
      <w:r w:rsidR="005F3BA9" w:rsidRPr="00563712">
        <w:rPr>
          <w:rFonts w:ascii="Times New Roman" w:hAnsi="Times New Roman"/>
          <w:lang w:val="en-US"/>
        </w:rPr>
        <w:t>,</w:t>
      </w:r>
      <w:r w:rsidR="00D93655" w:rsidRPr="00563712">
        <w:rPr>
          <w:rFonts w:ascii="Times New Roman" w:hAnsi="Times New Roman"/>
          <w:lang w:val="en-US"/>
        </w:rPr>
        <w:t xml:space="preserve"> 2009, </w:t>
      </w:r>
      <w:r w:rsidR="005F3BA9" w:rsidRPr="00563712">
        <w:rPr>
          <w:rFonts w:ascii="Times New Roman" w:hAnsi="Times New Roman"/>
          <w:lang w:val="en-US"/>
        </w:rPr>
        <w:t>p. </w:t>
      </w:r>
      <w:r w:rsidR="00D93655" w:rsidRPr="00563712">
        <w:rPr>
          <w:rFonts w:ascii="Times New Roman" w:hAnsi="Times New Roman"/>
          <w:lang w:val="en-US"/>
        </w:rPr>
        <w:t>175</w:t>
      </w:r>
      <w:r w:rsidR="005F3BA9" w:rsidRPr="00563712">
        <w:rPr>
          <w:rFonts w:ascii="Times New Roman" w:hAnsi="Times New Roman"/>
          <w:lang w:val="en-US"/>
        </w:rPr>
        <w:t xml:space="preserve"> et seqq.</w:t>
      </w:r>
      <w:r w:rsidR="00D93655" w:rsidRPr="00563712">
        <w:rPr>
          <w:rFonts w:ascii="Times New Roman" w:hAnsi="Times New Roman"/>
          <w:lang w:val="en-US"/>
        </w:rPr>
        <w:t>)</w:t>
      </w:r>
      <w:r w:rsidR="00060AF4" w:rsidRPr="00563712">
        <w:rPr>
          <w:rFonts w:ascii="Times New Roman" w:hAnsi="Times New Roman"/>
          <w:lang w:val="en-US"/>
        </w:rPr>
        <w:t xml:space="preserve"> – without needing any statistical base for this, the starting point is normative, not empirically driven</w:t>
      </w:r>
      <w:r w:rsidR="00373126" w:rsidRPr="00563712">
        <w:rPr>
          <w:rFonts w:ascii="Times New Roman" w:hAnsi="Times New Roman"/>
          <w:lang w:val="en-US"/>
        </w:rPr>
        <w:t xml:space="preserve">. </w:t>
      </w:r>
      <w:r w:rsidR="00060AF4" w:rsidRPr="00563712">
        <w:rPr>
          <w:rFonts w:ascii="Times New Roman" w:hAnsi="Times New Roman"/>
          <w:lang w:val="en-US"/>
        </w:rPr>
        <w:t>The idea is that b</w:t>
      </w:r>
      <w:r w:rsidRPr="00563712">
        <w:rPr>
          <w:rFonts w:ascii="Times New Roman" w:hAnsi="Times New Roman"/>
          <w:lang w:val="en-US"/>
        </w:rPr>
        <w:t xml:space="preserve">asic education cannot only </w:t>
      </w:r>
      <w:r w:rsidR="00B32593" w:rsidRPr="00563712">
        <w:rPr>
          <w:rFonts w:ascii="Times New Roman" w:hAnsi="Times New Roman"/>
          <w:lang w:val="en-US"/>
        </w:rPr>
        <w:t xml:space="preserve">help people </w:t>
      </w:r>
      <w:r w:rsidRPr="00563712">
        <w:rPr>
          <w:rFonts w:ascii="Times New Roman" w:hAnsi="Times New Roman"/>
          <w:i/>
          <w:lang w:val="en-US"/>
        </w:rPr>
        <w:t>ad</w:t>
      </w:r>
      <w:r w:rsidR="00B32593" w:rsidRPr="00563712">
        <w:rPr>
          <w:rFonts w:ascii="Times New Roman" w:hAnsi="Times New Roman"/>
          <w:i/>
          <w:lang w:val="en-US"/>
        </w:rPr>
        <w:t>a</w:t>
      </w:r>
      <w:r w:rsidRPr="00563712">
        <w:rPr>
          <w:rFonts w:ascii="Times New Roman" w:hAnsi="Times New Roman"/>
          <w:i/>
          <w:lang w:val="en-US"/>
        </w:rPr>
        <w:t>pt</w:t>
      </w:r>
      <w:r w:rsidRPr="00563712">
        <w:rPr>
          <w:rFonts w:ascii="Times New Roman" w:hAnsi="Times New Roman"/>
          <w:lang w:val="en-US"/>
        </w:rPr>
        <w:t xml:space="preserve"> to </w:t>
      </w:r>
      <w:r w:rsidR="00090448" w:rsidRPr="00563712">
        <w:rPr>
          <w:rFonts w:ascii="Times New Roman" w:hAnsi="Times New Roman"/>
          <w:lang w:val="en-US"/>
        </w:rPr>
        <w:t xml:space="preserve">social realities, but also has to make an effort to teach people to understand and </w:t>
      </w:r>
      <w:r w:rsidR="00090448" w:rsidRPr="00563712">
        <w:rPr>
          <w:rFonts w:ascii="Times New Roman" w:hAnsi="Times New Roman"/>
          <w:i/>
          <w:lang w:val="en-US"/>
        </w:rPr>
        <w:t>change</w:t>
      </w:r>
      <w:r w:rsidR="00090448" w:rsidRPr="00563712">
        <w:rPr>
          <w:rFonts w:ascii="Times New Roman" w:hAnsi="Times New Roman"/>
          <w:lang w:val="en-US"/>
        </w:rPr>
        <w:t xml:space="preserve"> the situation.</w:t>
      </w:r>
      <w:r w:rsidR="005148CE" w:rsidRPr="00563712">
        <w:rPr>
          <w:rFonts w:ascii="Times New Roman" w:hAnsi="Times New Roman"/>
          <w:lang w:val="en-US"/>
        </w:rPr>
        <w:t xml:space="preserve"> </w:t>
      </w:r>
      <w:r w:rsidR="00090448" w:rsidRPr="00563712">
        <w:rPr>
          <w:rFonts w:ascii="Times New Roman" w:hAnsi="Times New Roman"/>
          <w:lang w:val="en-US"/>
        </w:rPr>
        <w:t xml:space="preserve">Mere adaptation would lead to defensive learning, as German learning theorist Klaus Holzkamp states </w:t>
      </w:r>
      <w:r w:rsidR="00D93655" w:rsidRPr="00563712">
        <w:rPr>
          <w:rFonts w:ascii="Times New Roman" w:hAnsi="Times New Roman"/>
          <w:lang w:val="en-US"/>
        </w:rPr>
        <w:t>(</w:t>
      </w:r>
      <w:r w:rsidR="00090448" w:rsidRPr="00563712">
        <w:rPr>
          <w:rFonts w:ascii="Times New Roman" w:hAnsi="Times New Roman"/>
          <w:lang w:val="en-US"/>
        </w:rPr>
        <w:t xml:space="preserve">1993), which appears in combination with unreflected </w:t>
      </w:r>
      <w:r w:rsidR="00090448" w:rsidRPr="00563712">
        <w:rPr>
          <w:rFonts w:ascii="Times New Roman" w:hAnsi="Times New Roman"/>
          <w:i/>
          <w:lang w:val="en-US"/>
        </w:rPr>
        <w:t>learning reluctancies</w:t>
      </w:r>
      <w:r w:rsidR="00090448" w:rsidRPr="00563712">
        <w:rPr>
          <w:rFonts w:ascii="Times New Roman" w:hAnsi="Times New Roman"/>
          <w:lang w:val="en-US"/>
        </w:rPr>
        <w:t xml:space="preserve"> (</w:t>
      </w:r>
      <w:r w:rsidR="005148CE" w:rsidRPr="00563712">
        <w:rPr>
          <w:rFonts w:ascii="Times New Roman" w:hAnsi="Times New Roman"/>
          <w:lang w:val="en-US"/>
        </w:rPr>
        <w:t>Lernwiderstände</w:t>
      </w:r>
      <w:r w:rsidR="00090448" w:rsidRPr="00563712">
        <w:rPr>
          <w:rFonts w:ascii="Times New Roman" w:hAnsi="Times New Roman"/>
          <w:lang w:val="en-US"/>
        </w:rPr>
        <w:t xml:space="preserve">, </w:t>
      </w:r>
      <w:r w:rsidR="00D93655" w:rsidRPr="00563712">
        <w:rPr>
          <w:rFonts w:ascii="Times New Roman" w:hAnsi="Times New Roman"/>
          <w:lang w:val="en-US"/>
        </w:rPr>
        <w:t>Faulstich</w:t>
      </w:r>
      <w:r w:rsidR="005F3BA9" w:rsidRPr="00563712">
        <w:rPr>
          <w:rFonts w:ascii="Times New Roman" w:hAnsi="Times New Roman"/>
          <w:lang w:val="en-US"/>
        </w:rPr>
        <w:t>, &amp;</w:t>
      </w:r>
      <w:r w:rsidR="00D93655" w:rsidRPr="00563712">
        <w:rPr>
          <w:rFonts w:ascii="Times New Roman" w:hAnsi="Times New Roman"/>
          <w:lang w:val="en-US"/>
        </w:rPr>
        <w:t xml:space="preserve"> Bayer</w:t>
      </w:r>
      <w:r w:rsidR="005F3BA9" w:rsidRPr="00563712">
        <w:rPr>
          <w:rFonts w:ascii="Times New Roman" w:hAnsi="Times New Roman"/>
          <w:lang w:val="en-US"/>
        </w:rPr>
        <w:t>,</w:t>
      </w:r>
      <w:r w:rsidR="00D93655" w:rsidRPr="00563712">
        <w:rPr>
          <w:rFonts w:ascii="Times New Roman" w:hAnsi="Times New Roman"/>
          <w:lang w:val="en-US"/>
        </w:rPr>
        <w:t xml:space="preserve"> 2006)</w:t>
      </w:r>
      <w:r w:rsidR="00D738DF" w:rsidRPr="00563712">
        <w:rPr>
          <w:rFonts w:ascii="Times New Roman" w:hAnsi="Times New Roman"/>
          <w:lang w:val="en-US"/>
        </w:rPr>
        <w:t xml:space="preserve">. </w:t>
      </w:r>
      <w:r w:rsidR="00090448" w:rsidRPr="00563712">
        <w:rPr>
          <w:rFonts w:ascii="Times New Roman" w:hAnsi="Times New Roman"/>
          <w:lang w:val="en-US"/>
        </w:rPr>
        <w:t xml:space="preserve">On the other hand, expansive learning </w:t>
      </w:r>
      <w:r w:rsidR="00D93655" w:rsidRPr="00563712">
        <w:rPr>
          <w:rFonts w:ascii="Times New Roman" w:hAnsi="Times New Roman"/>
          <w:lang w:val="en-US"/>
        </w:rPr>
        <w:t>(Holzkamp</w:t>
      </w:r>
      <w:r w:rsidR="005F3BA9" w:rsidRPr="00563712">
        <w:rPr>
          <w:rFonts w:ascii="Times New Roman" w:hAnsi="Times New Roman"/>
          <w:lang w:val="en-US"/>
        </w:rPr>
        <w:t>,</w:t>
      </w:r>
      <w:r w:rsidR="00D93655" w:rsidRPr="00563712">
        <w:rPr>
          <w:rFonts w:ascii="Times New Roman" w:hAnsi="Times New Roman"/>
          <w:lang w:val="en-US"/>
        </w:rPr>
        <w:t xml:space="preserve"> 1993) </w:t>
      </w:r>
      <w:r w:rsidR="00090448" w:rsidRPr="00563712">
        <w:rPr>
          <w:rFonts w:ascii="Times New Roman" w:hAnsi="Times New Roman"/>
          <w:lang w:val="en-US"/>
        </w:rPr>
        <w:t>aims at an expansion of one</w:t>
      </w:r>
      <w:r w:rsidR="00B32593" w:rsidRPr="00563712">
        <w:rPr>
          <w:rFonts w:ascii="Times New Roman" w:hAnsi="Times New Roman"/>
          <w:lang w:val="en-US"/>
        </w:rPr>
        <w:t>’</w:t>
      </w:r>
      <w:r w:rsidR="00090448" w:rsidRPr="00563712">
        <w:rPr>
          <w:rFonts w:ascii="Times New Roman" w:hAnsi="Times New Roman"/>
          <w:lang w:val="en-US"/>
        </w:rPr>
        <w:t xml:space="preserve">s own sovereignty, both in material as well as in immaterial terms </w:t>
      </w:r>
      <w:r w:rsidR="00D93655" w:rsidRPr="00563712">
        <w:rPr>
          <w:rFonts w:ascii="Times New Roman" w:hAnsi="Times New Roman"/>
          <w:lang w:val="en-US"/>
        </w:rPr>
        <w:t>(</w:t>
      </w:r>
      <w:r w:rsidR="00102D0D" w:rsidRPr="00563712">
        <w:rPr>
          <w:rFonts w:ascii="Times New Roman" w:hAnsi="Times New Roman"/>
          <w:lang w:val="en-GB"/>
        </w:rPr>
        <w:t>deleted for anonymity</w:t>
      </w:r>
      <w:r w:rsidR="00D93655" w:rsidRPr="00563712">
        <w:rPr>
          <w:rFonts w:ascii="Times New Roman" w:hAnsi="Times New Roman"/>
          <w:lang w:val="en-US"/>
        </w:rPr>
        <w:t>)</w:t>
      </w:r>
      <w:r w:rsidR="00D738DF" w:rsidRPr="00563712">
        <w:rPr>
          <w:rFonts w:ascii="Times New Roman" w:hAnsi="Times New Roman"/>
          <w:lang w:val="en-US"/>
        </w:rPr>
        <w:t xml:space="preserve">. </w:t>
      </w:r>
    </w:p>
    <w:p w14:paraId="3F7C2E95" w14:textId="77777777" w:rsidR="005B3785" w:rsidRPr="00563712" w:rsidRDefault="005B3785" w:rsidP="005B3785">
      <w:pPr>
        <w:spacing w:after="0" w:line="480" w:lineRule="auto"/>
        <w:rPr>
          <w:rFonts w:ascii="Times New Roman" w:hAnsi="Times New Roman"/>
          <w:lang w:val="en-US"/>
        </w:rPr>
      </w:pPr>
    </w:p>
    <w:p w14:paraId="1A13F25B" w14:textId="77777777" w:rsidR="00090448" w:rsidRPr="00563712" w:rsidRDefault="00090448" w:rsidP="005B3785">
      <w:pPr>
        <w:spacing w:after="0" w:line="480" w:lineRule="auto"/>
        <w:rPr>
          <w:rFonts w:ascii="Times New Roman" w:hAnsi="Times New Roman"/>
          <w:lang w:val="en-US"/>
        </w:rPr>
      </w:pPr>
      <w:r w:rsidRPr="00563712">
        <w:rPr>
          <w:rFonts w:ascii="Times New Roman" w:hAnsi="Times New Roman"/>
          <w:lang w:val="en-US"/>
        </w:rPr>
        <w:t>This would lead to adults who learn to clarify their interests, claim them and expand the areas where they can decide according to their values, interests and needs. This may be decisions about work and leisure time, for and against starting a family, long-term job security, knowledge of trade unions, tariffs and rights as workers, better income and affordable housing</w:t>
      </w:r>
      <w:r w:rsidR="005F3BA9" w:rsidRPr="00563712">
        <w:rPr>
          <w:rFonts w:ascii="Times New Roman" w:hAnsi="Times New Roman"/>
          <w:lang w:val="en-US"/>
        </w:rPr>
        <w:t> </w:t>
      </w:r>
      <w:r w:rsidRPr="00563712">
        <w:rPr>
          <w:rFonts w:ascii="Times New Roman" w:hAnsi="Times New Roman"/>
          <w:lang w:val="en-US"/>
        </w:rPr>
        <w:t>– all these aspects being more or less material improvements of one</w:t>
      </w:r>
      <w:r w:rsidR="00B32593" w:rsidRPr="00563712">
        <w:rPr>
          <w:rFonts w:ascii="Times New Roman" w:hAnsi="Times New Roman"/>
          <w:lang w:val="en-US"/>
        </w:rPr>
        <w:t>’</w:t>
      </w:r>
      <w:r w:rsidRPr="00563712">
        <w:rPr>
          <w:rFonts w:ascii="Times New Roman" w:hAnsi="Times New Roman"/>
          <w:lang w:val="en-US"/>
        </w:rPr>
        <w:t xml:space="preserve">s life. But expansive learning may also lead to better participation and embeddedness in political structures, in non-profit </w:t>
      </w:r>
      <w:r w:rsidR="003C3459" w:rsidRPr="00563712">
        <w:rPr>
          <w:rFonts w:ascii="Times New Roman" w:hAnsi="Times New Roman"/>
          <w:lang w:val="en-US"/>
        </w:rPr>
        <w:t>organization</w:t>
      </w:r>
      <w:r w:rsidRPr="00563712">
        <w:rPr>
          <w:rFonts w:ascii="Times New Roman" w:hAnsi="Times New Roman"/>
          <w:lang w:val="en-US"/>
        </w:rPr>
        <w:t xml:space="preserve">s, in better quality of friendships and personal relations as well as better understanding of contemporary aspects of life </w:t>
      </w:r>
      <w:r w:rsidR="00AF62AA" w:rsidRPr="00563712">
        <w:rPr>
          <w:rFonts w:ascii="Times New Roman" w:hAnsi="Times New Roman"/>
          <w:lang w:val="en-US"/>
        </w:rPr>
        <w:t>by reading weblogs or newspapers</w:t>
      </w:r>
      <w:r w:rsidR="005F3BA9" w:rsidRPr="00563712">
        <w:rPr>
          <w:rFonts w:ascii="Times New Roman" w:hAnsi="Times New Roman"/>
          <w:lang w:val="en-US"/>
        </w:rPr>
        <w:t> </w:t>
      </w:r>
      <w:r w:rsidRPr="00563712">
        <w:rPr>
          <w:rFonts w:ascii="Times New Roman" w:hAnsi="Times New Roman"/>
          <w:lang w:val="en-US"/>
        </w:rPr>
        <w:t>– just to name some examples for immaterial outcomes of expansive learning</w:t>
      </w:r>
      <w:r w:rsidR="00AF62AA" w:rsidRPr="00563712">
        <w:rPr>
          <w:rFonts w:ascii="Times New Roman" w:hAnsi="Times New Roman"/>
          <w:lang w:val="en-US"/>
        </w:rPr>
        <w:t>, especially with regard to political literacy</w:t>
      </w:r>
      <w:r w:rsidRPr="00563712">
        <w:rPr>
          <w:rFonts w:ascii="Times New Roman" w:hAnsi="Times New Roman"/>
          <w:lang w:val="en-US"/>
        </w:rPr>
        <w:t>.</w:t>
      </w:r>
    </w:p>
    <w:p w14:paraId="0A4559F0" w14:textId="77777777" w:rsidR="00090448" w:rsidRPr="00563712" w:rsidRDefault="00090448" w:rsidP="005B3785">
      <w:pPr>
        <w:spacing w:after="0" w:line="480" w:lineRule="auto"/>
        <w:rPr>
          <w:rFonts w:ascii="Times New Roman" w:hAnsi="Times New Roman"/>
          <w:lang w:val="en-US"/>
        </w:rPr>
      </w:pPr>
    </w:p>
    <w:p w14:paraId="21980D9A" w14:textId="77777777" w:rsidR="00036BC0" w:rsidRPr="00563712" w:rsidRDefault="00036BC0" w:rsidP="005B3785">
      <w:pPr>
        <w:spacing w:after="0" w:line="480" w:lineRule="auto"/>
        <w:rPr>
          <w:rFonts w:ascii="Times New Roman" w:hAnsi="Times New Roman"/>
          <w:lang w:val="en-US"/>
        </w:rPr>
      </w:pPr>
      <w:r w:rsidRPr="00563712">
        <w:rPr>
          <w:rFonts w:ascii="Times New Roman" w:hAnsi="Times New Roman"/>
          <w:lang w:val="en-US"/>
        </w:rPr>
        <w:t xml:space="preserve">Thus it is from both perspectives (sociological and emancipatory) quite </w:t>
      </w:r>
      <w:r w:rsidR="00541346" w:rsidRPr="00563712">
        <w:rPr>
          <w:rFonts w:ascii="Times New Roman" w:hAnsi="Times New Roman"/>
          <w:lang w:val="en-US"/>
        </w:rPr>
        <w:t>relevant</w:t>
      </w:r>
      <w:r w:rsidRPr="00563712">
        <w:rPr>
          <w:rFonts w:ascii="Times New Roman" w:hAnsi="Times New Roman"/>
          <w:lang w:val="en-US"/>
        </w:rPr>
        <w:t xml:space="preserve"> to offer political literacy and workforce literacy side by side</w:t>
      </w:r>
      <w:r w:rsidR="00B32593" w:rsidRPr="00563712">
        <w:rPr>
          <w:rFonts w:ascii="Times New Roman" w:hAnsi="Times New Roman"/>
          <w:lang w:val="en-US"/>
        </w:rPr>
        <w:t>,</w:t>
      </w:r>
      <w:r w:rsidRPr="00563712">
        <w:rPr>
          <w:rFonts w:ascii="Times New Roman" w:hAnsi="Times New Roman"/>
          <w:lang w:val="en-US"/>
        </w:rPr>
        <w:t xml:space="preserve"> instead of giving one of them full attention and neglecting the other. But it will be necessary to develop didactical settings for civic education that really attract low-literate adults by allowing them to clarify their interests and needs and to articulate them – and this may include the deconstruction of the narrative of equal chances</w:t>
      </w:r>
      <w:r w:rsidR="00B32593" w:rsidRPr="00563712">
        <w:rPr>
          <w:rFonts w:ascii="Times New Roman" w:hAnsi="Times New Roman"/>
          <w:lang w:val="en-US"/>
        </w:rPr>
        <w:t xml:space="preserve"> </w:t>
      </w:r>
      <w:r w:rsidR="00D57C8F" w:rsidRPr="00563712">
        <w:rPr>
          <w:rFonts w:ascii="Times New Roman" w:hAnsi="Times New Roman"/>
          <w:lang w:val="en-US"/>
        </w:rPr>
        <w:t>–</w:t>
      </w:r>
      <w:r w:rsidRPr="00563712">
        <w:rPr>
          <w:rFonts w:ascii="Times New Roman" w:hAnsi="Times New Roman"/>
          <w:lang w:val="en-US"/>
        </w:rPr>
        <w:t xml:space="preserve"> and find legitimizations for solidarity which understand and </w:t>
      </w:r>
      <w:r w:rsidR="00872DA4" w:rsidRPr="00563712">
        <w:rPr>
          <w:rFonts w:ascii="Times New Roman" w:hAnsi="Times New Roman"/>
          <w:lang w:val="en-US"/>
        </w:rPr>
        <w:t xml:space="preserve">scrutinize </w:t>
      </w:r>
      <w:r w:rsidRPr="00563712">
        <w:rPr>
          <w:rFonts w:ascii="Times New Roman" w:hAnsi="Times New Roman"/>
          <w:lang w:val="en-US"/>
        </w:rPr>
        <w:t>the dominant neo-liberal ideology.</w:t>
      </w:r>
    </w:p>
    <w:p w14:paraId="614E9660" w14:textId="77777777" w:rsidR="00BD3887" w:rsidRPr="00563712" w:rsidRDefault="00BD3887" w:rsidP="005B3785">
      <w:pPr>
        <w:spacing w:after="0" w:line="480" w:lineRule="auto"/>
        <w:rPr>
          <w:rFonts w:ascii="Times New Roman" w:hAnsi="Times New Roman"/>
          <w:lang w:val="en-US"/>
        </w:rPr>
      </w:pPr>
    </w:p>
    <w:p w14:paraId="1EEBBB04" w14:textId="77777777" w:rsidR="005B3785" w:rsidRPr="00563712" w:rsidRDefault="009D01CC" w:rsidP="005B3785">
      <w:pPr>
        <w:pStyle w:val="CitaviBibliographyHeading"/>
        <w:numPr>
          <w:ilvl w:val="0"/>
          <w:numId w:val="30"/>
        </w:numPr>
        <w:spacing w:before="0" w:line="480" w:lineRule="auto"/>
        <w:ind w:left="360"/>
        <w:jc w:val="both"/>
        <w:rPr>
          <w:rFonts w:ascii="Times New Roman" w:hAnsi="Times New Roman"/>
          <w:color w:val="auto"/>
          <w:lang w:val="en-GB"/>
        </w:rPr>
      </w:pPr>
      <w:r w:rsidRPr="00563712">
        <w:rPr>
          <w:rFonts w:ascii="Times New Roman" w:hAnsi="Times New Roman"/>
          <w:color w:val="auto"/>
          <w:lang w:val="en-GB"/>
        </w:rPr>
        <w:t>Endnotes</w:t>
      </w:r>
    </w:p>
    <w:sectPr w:rsidR="005B3785" w:rsidRPr="00563712">
      <w:footerReference w:type="default" r:id="rId12"/>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BB5AD" w14:textId="77777777" w:rsidR="006E2C52" w:rsidRPr="00B06FEC" w:rsidRDefault="006E2C52" w:rsidP="00B06FEC">
      <w:pPr>
        <w:pStyle w:val="Sidfot"/>
      </w:pPr>
    </w:p>
  </w:endnote>
  <w:endnote w:type="continuationSeparator" w:id="0">
    <w:p w14:paraId="2E56840E" w14:textId="77777777" w:rsidR="006E2C52" w:rsidRPr="009248E2" w:rsidRDefault="006E2C52" w:rsidP="009248E2">
      <w:pPr>
        <w:pStyle w:val="Sidfot"/>
      </w:pPr>
    </w:p>
  </w:endnote>
  <w:endnote w:type="continuationNotice" w:id="1">
    <w:p w14:paraId="637ED431" w14:textId="77777777" w:rsidR="006E2C52" w:rsidRDefault="006E2C52">
      <w:pPr>
        <w:spacing w:after="0" w:line="240" w:lineRule="auto"/>
      </w:pPr>
    </w:p>
  </w:endnote>
  <w:endnote w:id="2">
    <w:p w14:paraId="65A3789C" w14:textId="77777777" w:rsidR="006102AD" w:rsidRPr="009D01CC" w:rsidRDefault="006102AD" w:rsidP="009D01CC">
      <w:pPr>
        <w:pStyle w:val="CitaviBibliographyEntry"/>
        <w:spacing w:after="0" w:line="480" w:lineRule="auto"/>
        <w:rPr>
          <w:rFonts w:ascii="Times New Roman" w:hAnsi="Times New Roman"/>
          <w:szCs w:val="24"/>
          <w:lang w:val="en-US"/>
        </w:rPr>
      </w:pPr>
      <w:r w:rsidRPr="009D01CC">
        <w:rPr>
          <w:rFonts w:ascii="Times New Roman" w:hAnsi="Times New Roman"/>
          <w:szCs w:val="24"/>
        </w:rPr>
        <w:endnoteRef/>
      </w:r>
      <w:r w:rsidRPr="009D01CC">
        <w:rPr>
          <w:rFonts w:ascii="Times New Roman" w:hAnsi="Times New Roman"/>
          <w:szCs w:val="24"/>
          <w:lang w:val="en-US"/>
        </w:rPr>
        <w:t xml:space="preserve"> In this case we understand literacy as literacy competence in terms of the Programme of the International Assessment of Adult Competencies (PIAAC), because we want to use PIAAC data for the analysis. Our reflection of the controversy on literacy relies especially on the New Literacy Studies, see </w:t>
      </w:r>
      <w:r>
        <w:rPr>
          <w:rFonts w:ascii="Times New Roman" w:hAnsi="Times New Roman"/>
          <w:lang w:val="en-GB"/>
        </w:rPr>
        <w:t>deleted for anonymity</w:t>
      </w:r>
      <w:r w:rsidRPr="009D01CC">
        <w:rPr>
          <w:rFonts w:ascii="Times New Roman" w:hAnsi="Times New Roman"/>
          <w:szCs w:val="24"/>
          <w:lang w:val="en-US"/>
        </w:rPr>
        <w:t xml:space="preserve">, </w:t>
      </w:r>
      <w:r>
        <w:rPr>
          <w:rFonts w:ascii="Times New Roman" w:hAnsi="Times New Roman"/>
          <w:lang w:val="en-GB"/>
        </w:rPr>
        <w:t>deleted for anonymity</w:t>
      </w:r>
      <w:r w:rsidRPr="009D01CC">
        <w:rPr>
          <w:rFonts w:ascii="Times New Roman" w:hAnsi="Times New Roman"/>
          <w:szCs w:val="24"/>
          <w:lang w:val="en-US"/>
        </w:rPr>
        <w:t>.</w:t>
      </w:r>
    </w:p>
  </w:endnote>
  <w:endnote w:id="3">
    <w:p w14:paraId="4B56F73A" w14:textId="77777777" w:rsidR="006102AD" w:rsidRPr="009D01CC" w:rsidRDefault="006102AD" w:rsidP="009D01CC">
      <w:pPr>
        <w:pStyle w:val="CitaviBibliographyEntry"/>
        <w:spacing w:after="0" w:line="480" w:lineRule="auto"/>
        <w:rPr>
          <w:rFonts w:ascii="Times New Roman" w:hAnsi="Times New Roman"/>
          <w:szCs w:val="24"/>
          <w:lang w:val="en-US"/>
        </w:rPr>
      </w:pPr>
      <w:r w:rsidRPr="009D01CC">
        <w:rPr>
          <w:rFonts w:ascii="Times New Roman" w:hAnsi="Times New Roman"/>
          <w:szCs w:val="24"/>
        </w:rPr>
        <w:endnoteRef/>
      </w:r>
      <w:r w:rsidRPr="009D01CC">
        <w:rPr>
          <w:rFonts w:ascii="Times New Roman" w:hAnsi="Times New Roman"/>
          <w:szCs w:val="24"/>
          <w:lang w:val="en-US"/>
        </w:rPr>
        <w:t xml:space="preserve"> See below for the theoretical concept of political efficacy and for the PIAAC theoretical framework. </w:t>
      </w:r>
    </w:p>
  </w:endnote>
  <w:endnote w:id="4">
    <w:p w14:paraId="62573DE4" w14:textId="77777777" w:rsidR="006102AD" w:rsidRPr="009D01CC" w:rsidRDefault="006102AD" w:rsidP="009D01CC">
      <w:pPr>
        <w:pStyle w:val="CitaviBibliographyEntry"/>
        <w:spacing w:after="0" w:line="480" w:lineRule="auto"/>
        <w:rPr>
          <w:rFonts w:ascii="Times New Roman" w:hAnsi="Times New Roman"/>
          <w:szCs w:val="24"/>
          <w:lang w:val="en-US"/>
        </w:rPr>
      </w:pPr>
      <w:r w:rsidRPr="009D01CC">
        <w:rPr>
          <w:rFonts w:ascii="Times New Roman" w:hAnsi="Times New Roman"/>
          <w:szCs w:val="24"/>
        </w:rPr>
        <w:endnoteRef/>
      </w:r>
      <w:r w:rsidRPr="009D01CC">
        <w:rPr>
          <w:rFonts w:ascii="Times New Roman" w:hAnsi="Times New Roman"/>
          <w:szCs w:val="24"/>
          <w:lang w:val="en-US"/>
        </w:rPr>
        <w:t xml:space="preserve"> A rather well known construct can be seen in the international approach of basic, critical political education which relies on Oskar Negt’s notion of societal competences Zeuner (2013). This approach led to an international project under the leadership of Christine Zeuner (Dvorak, Zeuner</w:t>
      </w:r>
      <w:r>
        <w:rPr>
          <w:rFonts w:ascii="Times New Roman" w:hAnsi="Times New Roman"/>
          <w:szCs w:val="24"/>
          <w:lang w:val="en-US"/>
        </w:rPr>
        <w:t>,</w:t>
      </w:r>
      <w:r w:rsidRPr="009D01CC">
        <w:rPr>
          <w:rFonts w:ascii="Times New Roman" w:hAnsi="Times New Roman"/>
          <w:szCs w:val="24"/>
          <w:lang w:val="en-US"/>
        </w:rPr>
        <w:t xml:space="preserve"> </w:t>
      </w:r>
      <w:r>
        <w:rPr>
          <w:rFonts w:ascii="Times New Roman" w:hAnsi="Times New Roman"/>
          <w:szCs w:val="24"/>
          <w:lang w:val="en-US"/>
        </w:rPr>
        <w:t>&amp;</w:t>
      </w:r>
      <w:r w:rsidRPr="009D01CC">
        <w:rPr>
          <w:rFonts w:ascii="Times New Roman" w:hAnsi="Times New Roman"/>
          <w:szCs w:val="24"/>
          <w:lang w:val="en-US"/>
        </w:rPr>
        <w:t xml:space="preserve"> Franke</w:t>
      </w:r>
      <w:r>
        <w:rPr>
          <w:rFonts w:ascii="Times New Roman" w:hAnsi="Times New Roman"/>
          <w:szCs w:val="24"/>
          <w:lang w:val="en-US"/>
        </w:rPr>
        <w:t>,</w:t>
      </w:r>
      <w:r w:rsidRPr="009D01CC">
        <w:rPr>
          <w:rFonts w:ascii="Times New Roman" w:hAnsi="Times New Roman"/>
          <w:szCs w:val="24"/>
          <w:lang w:val="en-US"/>
        </w:rPr>
        <w:t xml:space="preserve"> 2005). So far, the relationship between Basic Education (Grund-Bildung) and Basic Competence (Grund-Kompetenz) seems rather unclear.</w:t>
      </w:r>
    </w:p>
  </w:endnote>
  <w:endnote w:id="5">
    <w:p w14:paraId="47EE3B27" w14:textId="77777777" w:rsidR="006102AD" w:rsidRPr="009D01CC" w:rsidRDefault="006102AD" w:rsidP="009D01CC">
      <w:pPr>
        <w:pStyle w:val="CitaviBibliographyEntry"/>
        <w:spacing w:after="0" w:line="480" w:lineRule="auto"/>
        <w:rPr>
          <w:rFonts w:ascii="Times New Roman" w:hAnsi="Times New Roman"/>
          <w:szCs w:val="24"/>
          <w:lang w:val="en-US"/>
        </w:rPr>
      </w:pPr>
      <w:r w:rsidRPr="009D01CC">
        <w:rPr>
          <w:rFonts w:ascii="Times New Roman" w:hAnsi="Times New Roman"/>
          <w:szCs w:val="24"/>
        </w:rPr>
        <w:endnoteRef/>
      </w:r>
      <w:r w:rsidRPr="009D01CC">
        <w:rPr>
          <w:rFonts w:ascii="Times New Roman" w:hAnsi="Times New Roman"/>
          <w:szCs w:val="24"/>
          <w:lang w:val="en-US"/>
        </w:rPr>
        <w:t xml:space="preserve"> www.armuts-und-reichtumsbericht.de</w:t>
      </w:r>
    </w:p>
  </w:endnote>
  <w:endnote w:id="6">
    <w:p w14:paraId="19603384" w14:textId="77777777" w:rsidR="006102AD" w:rsidRPr="009D01CC" w:rsidRDefault="006102AD" w:rsidP="009D01CC">
      <w:pPr>
        <w:pStyle w:val="Slutnotstext"/>
        <w:spacing w:line="480" w:lineRule="auto"/>
        <w:rPr>
          <w:rFonts w:ascii="Times New Roman" w:hAnsi="Times New Roman"/>
          <w:sz w:val="24"/>
          <w:szCs w:val="24"/>
          <w:lang w:val="en-US"/>
        </w:rPr>
      </w:pPr>
      <w:r w:rsidRPr="009D01CC">
        <w:endnoteRef/>
      </w:r>
      <w:r w:rsidRPr="0016333C">
        <w:rPr>
          <w:rFonts w:ascii="Times New Roman" w:hAnsi="Times New Roman"/>
          <w:sz w:val="24"/>
          <w:szCs w:val="24"/>
          <w:lang w:val="en-US"/>
        </w:rPr>
        <w:t xml:space="preserve"> http://www.epi.org/publication/top-ceos-make-300-times-more-than-workers-pay-growth-</w:t>
      </w:r>
      <w:r w:rsidRPr="009D01CC">
        <w:rPr>
          <w:rFonts w:ascii="Times New Roman" w:hAnsi="Times New Roman"/>
          <w:sz w:val="24"/>
          <w:szCs w:val="24"/>
          <w:lang w:val="en-US"/>
        </w:rPr>
        <w:t>surpasses-market-gains-and-the-rest-of-the-0-1-percent/</w:t>
      </w:r>
    </w:p>
  </w:endnote>
  <w:endnote w:id="7">
    <w:p w14:paraId="1AA51B75" w14:textId="77777777" w:rsidR="006102AD" w:rsidRPr="009D01CC" w:rsidRDefault="006102AD" w:rsidP="009D01CC">
      <w:pPr>
        <w:pStyle w:val="CitaviBibliographyEntry"/>
        <w:spacing w:after="0" w:line="480" w:lineRule="auto"/>
        <w:rPr>
          <w:rFonts w:ascii="Times New Roman" w:hAnsi="Times New Roman"/>
          <w:szCs w:val="24"/>
          <w:lang w:val="en-US"/>
        </w:rPr>
      </w:pPr>
      <w:r w:rsidRPr="009D01CC">
        <w:rPr>
          <w:rFonts w:ascii="Times New Roman" w:hAnsi="Times New Roman"/>
          <w:szCs w:val="24"/>
        </w:rPr>
        <w:endnoteRef/>
      </w:r>
      <w:r w:rsidRPr="009D01CC">
        <w:rPr>
          <w:rFonts w:ascii="Times New Roman" w:hAnsi="Times New Roman"/>
          <w:szCs w:val="24"/>
          <w:lang w:val="en-US"/>
        </w:rPr>
        <w:t xml:space="preserve"> Early studies show that the core selection mechanism in the German educational sustem, the transition to different school types after grade 4, is much more influenced by parents’ socioeconomic status than by the performance of the student (Lehmann, Peek</w:t>
      </w:r>
      <w:r>
        <w:rPr>
          <w:rFonts w:ascii="Times New Roman" w:hAnsi="Times New Roman"/>
          <w:szCs w:val="24"/>
          <w:lang w:val="en-US"/>
        </w:rPr>
        <w:t xml:space="preserve">, &amp; </w:t>
      </w:r>
      <w:r w:rsidRPr="009D01CC">
        <w:rPr>
          <w:rFonts w:ascii="Times New Roman" w:hAnsi="Times New Roman"/>
          <w:szCs w:val="24"/>
          <w:lang w:val="en-US"/>
        </w:rPr>
        <w:t>Gänsfuß</w:t>
      </w:r>
      <w:r>
        <w:rPr>
          <w:rFonts w:ascii="Times New Roman" w:hAnsi="Times New Roman"/>
          <w:szCs w:val="24"/>
          <w:lang w:val="en-US"/>
        </w:rPr>
        <w:t>,</w:t>
      </w:r>
      <w:r w:rsidRPr="009D01CC">
        <w:rPr>
          <w:rFonts w:ascii="Times New Roman" w:hAnsi="Times New Roman"/>
          <w:szCs w:val="24"/>
          <w:lang w:val="en-US"/>
        </w:rPr>
        <w:t xml:space="preserve"> 1997). </w:t>
      </w:r>
    </w:p>
  </w:endnote>
  <w:endnote w:id="8">
    <w:p w14:paraId="4B1B1C70" w14:textId="77777777" w:rsidR="006102AD" w:rsidRPr="009D01CC" w:rsidRDefault="006102AD" w:rsidP="009D01CC">
      <w:pPr>
        <w:pStyle w:val="CitaviBibliographyEntry"/>
        <w:spacing w:after="0" w:line="480" w:lineRule="auto"/>
        <w:rPr>
          <w:rFonts w:ascii="Times New Roman" w:hAnsi="Times New Roman"/>
          <w:szCs w:val="24"/>
          <w:lang w:val="en-US"/>
        </w:rPr>
      </w:pPr>
      <w:r w:rsidRPr="009D01CC">
        <w:rPr>
          <w:rFonts w:ascii="Times New Roman" w:hAnsi="Times New Roman"/>
          <w:szCs w:val="24"/>
        </w:rPr>
        <w:endnoteRef/>
      </w:r>
      <w:r w:rsidRPr="009D01CC">
        <w:rPr>
          <w:rFonts w:ascii="Times New Roman" w:hAnsi="Times New Roman"/>
          <w:szCs w:val="24"/>
          <w:lang w:val="en-US"/>
        </w:rPr>
        <w:t xml:space="preserve"> When middle classes start claiming that refugee homes should not be built in their neighbourhood, the lack of a </w:t>
      </w:r>
      <w:r w:rsidRPr="009D01CC">
        <w:rPr>
          <w:rFonts w:ascii="Times New Roman" w:hAnsi="Times New Roman"/>
          <w:i/>
          <w:szCs w:val="24"/>
          <w:lang w:val="en-US"/>
        </w:rPr>
        <w:t>voice</w:t>
      </w:r>
      <w:r w:rsidRPr="009D01CC">
        <w:rPr>
          <w:rFonts w:ascii="Times New Roman" w:hAnsi="Times New Roman"/>
          <w:szCs w:val="24"/>
          <w:lang w:val="en-US"/>
        </w:rPr>
        <w:t xml:space="preserve"> that would be </w:t>
      </w:r>
      <w:r w:rsidRPr="009D01CC">
        <w:rPr>
          <w:rFonts w:ascii="Times New Roman" w:hAnsi="Times New Roman"/>
          <w:i/>
          <w:szCs w:val="24"/>
          <w:lang w:val="en-US"/>
        </w:rPr>
        <w:t>heard</w:t>
      </w:r>
      <w:r w:rsidRPr="009D01CC">
        <w:rPr>
          <w:rFonts w:ascii="Times New Roman" w:hAnsi="Times New Roman"/>
          <w:szCs w:val="24"/>
          <w:lang w:val="en-US"/>
        </w:rPr>
        <w:t xml:space="preserve"> by powerful groups becomes clear. Refugees’ possibilities to make a claim are not verbal – they consist of self-vulnerating actions like starting fires in their own camps, going on hunger strikes, risking dangerous flight routes and vulnerating practices like stitching up ones’ own lips. </w:t>
      </w:r>
    </w:p>
  </w:endnote>
  <w:endnote w:id="9">
    <w:p w14:paraId="6A1ED2B8" w14:textId="77777777" w:rsidR="006102AD" w:rsidRPr="009D01CC" w:rsidRDefault="006102AD" w:rsidP="009D01CC">
      <w:pPr>
        <w:pStyle w:val="CitaviBibliographyEntry"/>
        <w:spacing w:after="0" w:line="480" w:lineRule="auto"/>
        <w:rPr>
          <w:rFonts w:ascii="Times New Roman" w:hAnsi="Times New Roman"/>
          <w:szCs w:val="24"/>
          <w:lang w:val="en-US"/>
        </w:rPr>
      </w:pPr>
      <w:r w:rsidRPr="009D01CC">
        <w:rPr>
          <w:rFonts w:ascii="Times New Roman" w:hAnsi="Times New Roman"/>
          <w:szCs w:val="24"/>
        </w:rPr>
        <w:endnoteRef/>
      </w:r>
      <w:r w:rsidRPr="009D01CC">
        <w:rPr>
          <w:rFonts w:ascii="Times New Roman" w:hAnsi="Times New Roman"/>
          <w:szCs w:val="24"/>
          <w:lang w:val="en-US"/>
        </w:rPr>
        <w:t xml:space="preserve"> Labeling groups of people always contains the dialectics of homogenizing and essentializing the group according to a single characteristic and thus reducing them to the label. On the other hand, the claim for compensation cannot be made without precise distinctions between those who have a right to receive compensation and those who do not. This dilemma cannot be overcome by more euphemistic (politically correct) words. It must be taken into consideration each time a group is characterized. A common approach is to distinguish between the </w:t>
      </w:r>
      <w:r w:rsidRPr="009D01CC">
        <w:rPr>
          <w:rFonts w:ascii="Times New Roman" w:hAnsi="Times New Roman"/>
          <w:i/>
          <w:szCs w:val="24"/>
          <w:lang w:val="en-US"/>
        </w:rPr>
        <w:t>person</w:t>
      </w:r>
      <w:r w:rsidRPr="009D01CC">
        <w:rPr>
          <w:rFonts w:ascii="Times New Roman" w:hAnsi="Times New Roman"/>
          <w:szCs w:val="24"/>
          <w:lang w:val="en-US"/>
        </w:rPr>
        <w:t xml:space="preserve"> and the </w:t>
      </w:r>
      <w:r w:rsidRPr="009D01CC">
        <w:rPr>
          <w:rFonts w:ascii="Times New Roman" w:hAnsi="Times New Roman"/>
          <w:i/>
          <w:szCs w:val="24"/>
          <w:lang w:val="en-US"/>
        </w:rPr>
        <w:t>issue</w:t>
      </w:r>
      <w:r w:rsidRPr="009D01CC">
        <w:rPr>
          <w:rFonts w:ascii="Times New Roman" w:hAnsi="Times New Roman"/>
          <w:szCs w:val="24"/>
          <w:lang w:val="en-US"/>
        </w:rPr>
        <w:t xml:space="preserve"> (low-literate adults) instead of making the issue a label (low-literates). </w:t>
      </w:r>
    </w:p>
  </w:endnote>
  <w:endnote w:id="10">
    <w:p w14:paraId="3B86DB79" w14:textId="77777777" w:rsidR="006102AD" w:rsidRPr="009D01CC" w:rsidRDefault="006102AD" w:rsidP="009D01CC">
      <w:pPr>
        <w:pStyle w:val="CitaviBibliographyEntry"/>
        <w:spacing w:after="0" w:line="480" w:lineRule="auto"/>
        <w:rPr>
          <w:rFonts w:ascii="Times New Roman" w:hAnsi="Times New Roman"/>
          <w:szCs w:val="24"/>
          <w:lang w:val="en-US"/>
        </w:rPr>
      </w:pPr>
      <w:r w:rsidRPr="009D01CC">
        <w:rPr>
          <w:rFonts w:ascii="Times New Roman" w:hAnsi="Times New Roman"/>
          <w:szCs w:val="24"/>
        </w:rPr>
        <w:endnoteRef/>
      </w:r>
      <w:r w:rsidRPr="009D01CC">
        <w:rPr>
          <w:rFonts w:ascii="Times New Roman" w:hAnsi="Times New Roman"/>
          <w:szCs w:val="24"/>
          <w:lang w:val="en-US"/>
        </w:rPr>
        <w:t xml:space="preserve"> Roughly 80% of those considered to perform on a level called functional illiteracy hold a school qualification. The definition of functional illiteracy corresponds with UNESCO-Definitions: “A person is functionally literate who can engage in all those activities in which literacy is required for effective functioning of his group and community and also for enabling him to continue to use reading, writing and calculation for his own and the community’s development“ (sources and discussion: </w:t>
      </w:r>
      <w:r>
        <w:rPr>
          <w:rFonts w:ascii="Times New Roman" w:hAnsi="Times New Roman"/>
          <w:lang w:val="en-GB"/>
        </w:rPr>
        <w:t>deleted for anonymity</w:t>
      </w:r>
      <w:r>
        <w:rPr>
          <w:rFonts w:ascii="Times New Roman" w:hAnsi="Times New Roman"/>
          <w:szCs w:val="24"/>
          <w:lang w:val="en-US"/>
        </w:rPr>
        <w:t>.</w:t>
      </w:r>
      <w:r w:rsidRPr="009D01CC">
        <w:rPr>
          <w:rFonts w:ascii="Times New Roman" w:hAnsi="Times New Roman"/>
          <w:szCs w:val="24"/>
          <w:lang w:val="en-US"/>
        </w:rPr>
        <w:t xml:space="preserve"> </w:t>
      </w:r>
    </w:p>
  </w:endnote>
  <w:endnote w:id="11">
    <w:p w14:paraId="3F9E89BF" w14:textId="77777777" w:rsidR="006102AD" w:rsidRPr="009D01CC" w:rsidRDefault="006102AD" w:rsidP="009D01CC">
      <w:pPr>
        <w:pStyle w:val="CitaviBibliographyEntry"/>
        <w:spacing w:after="0" w:line="480" w:lineRule="auto"/>
        <w:rPr>
          <w:rFonts w:ascii="Times New Roman" w:hAnsi="Times New Roman"/>
          <w:szCs w:val="24"/>
          <w:lang w:val="en-US"/>
        </w:rPr>
      </w:pPr>
      <w:r w:rsidRPr="009D01CC">
        <w:rPr>
          <w:rFonts w:ascii="Times New Roman" w:hAnsi="Times New Roman"/>
          <w:szCs w:val="24"/>
        </w:rPr>
        <w:endnoteRef/>
      </w:r>
      <w:r w:rsidRPr="009D01CC">
        <w:rPr>
          <w:rFonts w:ascii="Times New Roman" w:hAnsi="Times New Roman"/>
          <w:szCs w:val="24"/>
          <w:lang w:val="en-US"/>
        </w:rPr>
        <w:t xml:space="preserve"> The framework then points at the work by Tom Schuller and Richard Desjardin</w:t>
      </w:r>
      <w:r>
        <w:rPr>
          <w:rFonts w:ascii="Times New Roman" w:hAnsi="Times New Roman"/>
          <w:szCs w:val="24"/>
          <w:lang w:val="en-US"/>
        </w:rPr>
        <w:t>`s</w:t>
      </w:r>
      <w:r w:rsidRPr="009D01CC">
        <w:rPr>
          <w:rFonts w:ascii="Times New Roman" w:hAnsi="Times New Roman"/>
          <w:szCs w:val="24"/>
          <w:lang w:val="en-US"/>
        </w:rPr>
        <w:t xml:space="preserve"> who, under the idea of rational choice approaches, stand for the approach of </w:t>
      </w:r>
      <w:r w:rsidRPr="009D01CC">
        <w:rPr>
          <w:rFonts w:ascii="Times New Roman" w:hAnsi="Times New Roman"/>
          <w:i/>
          <w:szCs w:val="24"/>
          <w:lang w:val="en-US"/>
        </w:rPr>
        <w:t>Wider Benefits of Learning</w:t>
      </w:r>
      <w:r w:rsidRPr="009D01CC">
        <w:rPr>
          <w:rFonts w:ascii="Times New Roman" w:hAnsi="Times New Roman"/>
          <w:szCs w:val="24"/>
          <w:lang w:val="en-US"/>
        </w:rPr>
        <w:t>.</w:t>
      </w:r>
    </w:p>
  </w:endnote>
  <w:endnote w:id="12">
    <w:p w14:paraId="40174798" w14:textId="77777777" w:rsidR="006102AD" w:rsidRPr="009D01CC" w:rsidRDefault="006102AD" w:rsidP="009D01CC">
      <w:pPr>
        <w:autoSpaceDE w:val="0"/>
        <w:autoSpaceDN w:val="0"/>
        <w:adjustRightInd w:val="0"/>
        <w:spacing w:after="0" w:line="480" w:lineRule="auto"/>
        <w:jc w:val="left"/>
        <w:rPr>
          <w:rFonts w:ascii="Times New Roman" w:hAnsi="Times New Roman"/>
          <w:szCs w:val="24"/>
          <w:lang w:val="en-US"/>
        </w:rPr>
      </w:pPr>
      <w:r w:rsidRPr="009D01CC">
        <w:rPr>
          <w:rFonts w:ascii="Times New Roman" w:hAnsi="Times New Roman"/>
          <w:szCs w:val="24"/>
        </w:rPr>
        <w:endnoteRef/>
      </w:r>
      <w:r w:rsidRPr="009D01CC">
        <w:rPr>
          <w:rFonts w:ascii="Times New Roman" w:hAnsi="Times New Roman"/>
          <w:szCs w:val="24"/>
          <w:lang w:val="en-US"/>
        </w:rPr>
        <w:t xml:space="preserve"> I_Q 05f About yourself - Cultural engagement - Voluntary work for non-profit organizations. Answers: Never, Less than once a month, Less than once a week but at least once a month, At least once a week but not every day, Every day.</w:t>
      </w:r>
    </w:p>
  </w:endnote>
  <w:endnote w:id="13">
    <w:p w14:paraId="58225893" w14:textId="77777777" w:rsidR="006102AD" w:rsidRPr="009D01CC" w:rsidRDefault="006102AD" w:rsidP="009D01CC">
      <w:pPr>
        <w:autoSpaceDE w:val="0"/>
        <w:autoSpaceDN w:val="0"/>
        <w:adjustRightInd w:val="0"/>
        <w:spacing w:after="0" w:line="480" w:lineRule="auto"/>
        <w:jc w:val="left"/>
        <w:rPr>
          <w:rFonts w:ascii="Times New Roman" w:hAnsi="Times New Roman"/>
          <w:szCs w:val="24"/>
          <w:lang w:val="en-US"/>
        </w:rPr>
      </w:pPr>
      <w:r w:rsidRPr="009D01CC">
        <w:rPr>
          <w:rFonts w:ascii="Times New Roman" w:hAnsi="Times New Roman"/>
          <w:szCs w:val="24"/>
        </w:rPr>
        <w:endnoteRef/>
      </w:r>
      <w:r w:rsidRPr="009D01CC">
        <w:rPr>
          <w:rFonts w:ascii="Times New Roman" w:hAnsi="Times New Roman"/>
          <w:szCs w:val="24"/>
          <w:lang w:val="en-US"/>
        </w:rPr>
        <w:t xml:space="preserve"> IQ06a About yourself – Political efficacy – No influence on the government, Answers: Strongly agree, Agree, Neither agree nor disagree, Disagree, Strongly disagree.</w:t>
      </w:r>
    </w:p>
  </w:endnote>
  <w:endnote w:id="14">
    <w:p w14:paraId="38ACEEBF" w14:textId="77777777" w:rsidR="006102AD" w:rsidRPr="009D01CC" w:rsidRDefault="006102AD" w:rsidP="009D01CC">
      <w:pPr>
        <w:autoSpaceDE w:val="0"/>
        <w:autoSpaceDN w:val="0"/>
        <w:adjustRightInd w:val="0"/>
        <w:spacing w:after="0" w:line="480" w:lineRule="auto"/>
        <w:jc w:val="left"/>
        <w:rPr>
          <w:rFonts w:ascii="Times New Roman" w:hAnsi="Times New Roman"/>
          <w:szCs w:val="24"/>
          <w:lang w:val="en-US"/>
        </w:rPr>
      </w:pPr>
      <w:r w:rsidRPr="009D01CC">
        <w:rPr>
          <w:rFonts w:ascii="Times New Roman" w:hAnsi="Times New Roman"/>
          <w:szCs w:val="24"/>
        </w:rPr>
        <w:endnoteRef/>
      </w:r>
      <w:r w:rsidRPr="009D01CC">
        <w:rPr>
          <w:rFonts w:ascii="Times New Roman" w:hAnsi="Times New Roman"/>
          <w:szCs w:val="24"/>
          <w:lang w:val="en-US"/>
        </w:rPr>
        <w:t xml:space="preserve"> IQ 07a About yourself – Social trust – Trust only few people, Answers: Strongly agree, Agree, Neither agree nor disagree, Disagree, Strongly disagree. The Variable "IQ 07b About yourself – Social trust – Other people take advantage of me"  has not been used here, because it is part of a construct made of two variables (IQ07a </w:t>
      </w:r>
      <w:r>
        <w:rPr>
          <w:rFonts w:ascii="Times New Roman" w:hAnsi="Times New Roman"/>
          <w:szCs w:val="24"/>
          <w:lang w:val="en-US"/>
        </w:rPr>
        <w:t>, IQ07</w:t>
      </w:r>
      <w:r w:rsidRPr="009D01CC">
        <w:rPr>
          <w:rFonts w:ascii="Times New Roman" w:hAnsi="Times New Roman"/>
          <w:szCs w:val="24"/>
          <w:lang w:val="en-US"/>
        </w:rPr>
        <w:t>b), which tests social trust. As the others are not constructs but merely single variables (IQ05</w:t>
      </w:r>
      <w:r>
        <w:rPr>
          <w:rFonts w:ascii="Times New Roman" w:hAnsi="Times New Roman"/>
          <w:szCs w:val="24"/>
          <w:lang w:val="en-US"/>
        </w:rPr>
        <w:t>,</w:t>
      </w:r>
      <w:r w:rsidRPr="009D01CC">
        <w:rPr>
          <w:rFonts w:ascii="Times New Roman" w:hAnsi="Times New Roman"/>
          <w:szCs w:val="24"/>
          <w:lang w:val="en-US"/>
        </w:rPr>
        <w:t xml:space="preserve"> IQ06) it felt fairer to use one variable each and not two for social trust, one for political efficacy and one for volunteering.</w:t>
      </w:r>
    </w:p>
  </w:endnote>
  <w:endnote w:id="15">
    <w:p w14:paraId="5D4FEC14" w14:textId="77777777" w:rsidR="006102AD" w:rsidRPr="009D01CC" w:rsidRDefault="006102AD" w:rsidP="009D01CC">
      <w:pPr>
        <w:pStyle w:val="CitaviBibliographyEntry"/>
        <w:spacing w:after="0" w:line="480" w:lineRule="auto"/>
        <w:rPr>
          <w:rFonts w:ascii="Times New Roman" w:hAnsi="Times New Roman"/>
          <w:szCs w:val="24"/>
          <w:lang w:val="en-US"/>
        </w:rPr>
      </w:pPr>
      <w:r w:rsidRPr="009D01CC">
        <w:rPr>
          <w:rFonts w:ascii="Times New Roman" w:hAnsi="Times New Roman"/>
          <w:szCs w:val="24"/>
        </w:rPr>
        <w:endnoteRef/>
      </w:r>
      <w:r w:rsidRPr="009D01CC">
        <w:rPr>
          <w:rFonts w:ascii="Times New Roman" w:hAnsi="Times New Roman"/>
          <w:szCs w:val="24"/>
          <w:lang w:val="en-US"/>
        </w:rPr>
        <w:t xml:space="preserve"> All differences are statistically significant</w:t>
      </w:r>
      <w:r>
        <w:rPr>
          <w:rFonts w:ascii="Times New Roman" w:hAnsi="Times New Roman"/>
          <w:szCs w:val="24"/>
          <w:lang w:val="en-US"/>
        </w:rPr>
        <w:t>.</w:t>
      </w:r>
    </w:p>
  </w:endnote>
  <w:endnote w:id="16">
    <w:p w14:paraId="5E209B2C" w14:textId="77777777" w:rsidR="006102AD" w:rsidRPr="009D01CC" w:rsidRDefault="006102AD" w:rsidP="009D01CC">
      <w:pPr>
        <w:pStyle w:val="CitaviBibliographyEntry"/>
        <w:spacing w:after="0" w:line="480" w:lineRule="auto"/>
        <w:rPr>
          <w:rFonts w:ascii="Times New Roman" w:hAnsi="Times New Roman"/>
          <w:szCs w:val="24"/>
          <w:lang w:val="en-US"/>
        </w:rPr>
      </w:pPr>
      <w:r w:rsidRPr="009D01CC">
        <w:rPr>
          <w:rFonts w:ascii="Times New Roman" w:hAnsi="Times New Roman"/>
          <w:szCs w:val="24"/>
        </w:rPr>
        <w:endnoteRef/>
      </w:r>
      <w:r w:rsidRPr="009D01CC">
        <w:rPr>
          <w:rFonts w:ascii="Times New Roman" w:hAnsi="Times New Roman"/>
          <w:szCs w:val="24"/>
          <w:lang w:val="en-US"/>
        </w:rPr>
        <w:t xml:space="preserve"> Former German Chancellor Gerhard Schröder (social democrats) claimed in 2001, job agencies should show more strictness against those unemployed who are unwilling to work. The tabloid press (BILD) quotes him stating "There is no right to laziness in our society" . </w:t>
      </w:r>
    </w:p>
  </w:endnote>
  <w:endnote w:id="17">
    <w:p w14:paraId="23EDD402" w14:textId="77777777" w:rsidR="006102AD" w:rsidRPr="009D01CC" w:rsidRDefault="006102AD" w:rsidP="009D01CC">
      <w:pPr>
        <w:pStyle w:val="CitaviBibliographyEntry"/>
        <w:spacing w:after="0" w:line="480" w:lineRule="auto"/>
        <w:rPr>
          <w:rFonts w:ascii="Times New Roman" w:hAnsi="Times New Roman"/>
          <w:szCs w:val="24"/>
          <w:lang w:val="en-US"/>
        </w:rPr>
      </w:pPr>
      <w:r w:rsidRPr="009D01CC">
        <w:rPr>
          <w:rFonts w:ascii="Times New Roman" w:hAnsi="Times New Roman"/>
          <w:szCs w:val="24"/>
        </w:rPr>
        <w:endnoteRef/>
      </w:r>
      <w:r w:rsidRPr="009D01CC">
        <w:rPr>
          <w:rFonts w:ascii="Times New Roman" w:hAnsi="Times New Roman"/>
          <w:szCs w:val="24"/>
          <w:lang w:val="en-US"/>
        </w:rPr>
        <w:t xml:space="preserve"> Vice Chancellor Sigmar Gabriel (social democrats) stated at a press conference in April 2016 concerning the new immigration law (SZ 15.4</w:t>
      </w:r>
      <w:r w:rsidR="00B96922">
        <w:rPr>
          <w:rFonts w:ascii="Times New Roman" w:hAnsi="Times New Roman"/>
          <w:szCs w:val="24"/>
          <w:lang w:val="en-US"/>
        </w:rPr>
        <w:t>.2016) Germany would not want "</w:t>
      </w:r>
      <w:r w:rsidRPr="009D01CC">
        <w:rPr>
          <w:rFonts w:ascii="Times New Roman" w:hAnsi="Times New Roman"/>
          <w:szCs w:val="24"/>
          <w:lang w:val="en-US"/>
        </w:rPr>
        <w:t>Integration simulators" ("Integrationssimulanten</w:t>
      </w:r>
      <w:r>
        <w:rPr>
          <w:rFonts w:ascii="Times New Roman" w:hAnsi="Times New Roman"/>
          <w:szCs w:val="24"/>
          <w:lang w:val="en-US"/>
        </w:rPr>
        <w:t>"</w:t>
      </w:r>
      <w:r w:rsidRPr="009D01CC">
        <w:rPr>
          <w:rFonts w:ascii="Times New Roman" w:hAnsi="Times New Roman"/>
          <w:szCs w:val="24"/>
          <w:lang w:val="en-US"/>
        </w:rPr>
        <w:t xml:space="preserve">), he meant refugees who would only pretend they would want to integrate. </w:t>
      </w:r>
    </w:p>
    <w:p w14:paraId="75EB0F37" w14:textId="77777777" w:rsidR="006102AD" w:rsidRPr="00897FA0" w:rsidRDefault="006102AD" w:rsidP="00897FA0">
      <w:pPr>
        <w:pStyle w:val="CitaviBibliographyEntry"/>
        <w:spacing w:after="0" w:line="480" w:lineRule="auto"/>
        <w:rPr>
          <w:rFonts w:ascii="Times New Roman" w:hAnsi="Times New Roman"/>
          <w:sz w:val="18"/>
          <w:szCs w:val="18"/>
          <w:lang w:val="en-US"/>
        </w:rPr>
      </w:pPr>
    </w:p>
    <w:p w14:paraId="55B39D8D" w14:textId="77777777" w:rsidR="006102AD" w:rsidRPr="003854B0" w:rsidRDefault="006102AD" w:rsidP="00897FA0">
      <w:pPr>
        <w:spacing w:after="0" w:line="480" w:lineRule="auto"/>
        <w:rPr>
          <w:rFonts w:ascii="Times New Roman" w:hAnsi="Times New Roman"/>
          <w:b/>
        </w:rPr>
      </w:pPr>
      <w:r w:rsidRPr="003854B0">
        <w:rPr>
          <w:rFonts w:ascii="Times New Roman" w:hAnsi="Times New Roman"/>
          <w:b/>
        </w:rPr>
        <w:t>References</w:t>
      </w:r>
    </w:p>
    <w:p w14:paraId="66B00BB4" w14:textId="77777777" w:rsidR="006102AD" w:rsidRDefault="006102AD" w:rsidP="005B3785">
      <w:pPr>
        <w:pStyle w:val="CitaviBibliographyEntry"/>
        <w:spacing w:after="0" w:line="480" w:lineRule="auto"/>
        <w:ind w:left="284" w:hanging="284"/>
        <w:rPr>
          <w:rFonts w:ascii="Times New Roman" w:hAnsi="Times New Roman"/>
        </w:rPr>
      </w:pPr>
    </w:p>
    <w:p w14:paraId="0ABDDE4C" w14:textId="77777777" w:rsidR="006102AD" w:rsidRDefault="006102AD" w:rsidP="00477B08">
      <w:pPr>
        <w:pStyle w:val="CitaviBibliographyEntry"/>
        <w:spacing w:after="0" w:line="480" w:lineRule="auto"/>
        <w:rPr>
          <w:rFonts w:ascii="Times New Roman" w:hAnsi="Times New Roman"/>
        </w:rPr>
      </w:pPr>
      <w:r w:rsidRPr="005B3785">
        <w:rPr>
          <w:rFonts w:ascii="Times New Roman" w:hAnsi="Times New Roman"/>
        </w:rPr>
        <w:t xml:space="preserve">Albert, M., Hurrelmann, K., &amp; Quenzel, G. (Hrsg.). (2015). </w:t>
      </w:r>
      <w:r w:rsidRPr="005B3785">
        <w:rPr>
          <w:rFonts w:ascii="Times New Roman" w:hAnsi="Times New Roman"/>
          <w:i/>
        </w:rPr>
        <w:t>Jugend 2015: Eine pragmatische Generation im Aufbruch: 17. Shell Jugendstudie</w:t>
      </w:r>
      <w:r w:rsidRPr="005B3785">
        <w:rPr>
          <w:rFonts w:ascii="Times New Roman" w:hAnsi="Times New Roman"/>
        </w:rPr>
        <w:t>. Frankfurt am Main: S. Fischer.</w:t>
      </w:r>
    </w:p>
    <w:p w14:paraId="3105BE49" w14:textId="77777777" w:rsidR="006102AD" w:rsidRPr="005B3785" w:rsidRDefault="006102AD" w:rsidP="00477B08">
      <w:pPr>
        <w:pStyle w:val="CitaviBibliographyEntry"/>
        <w:spacing w:after="0" w:line="480" w:lineRule="auto"/>
        <w:rPr>
          <w:rFonts w:ascii="Times New Roman" w:hAnsi="Times New Roman"/>
        </w:rPr>
      </w:pPr>
    </w:p>
    <w:p w14:paraId="4461C498" w14:textId="77777777" w:rsidR="006102AD" w:rsidRDefault="006102AD" w:rsidP="00477B08">
      <w:pPr>
        <w:pStyle w:val="CitaviBibliographyEntry"/>
        <w:spacing w:after="0" w:line="480" w:lineRule="auto"/>
        <w:rPr>
          <w:rFonts w:ascii="Times New Roman" w:hAnsi="Times New Roman"/>
        </w:rPr>
      </w:pPr>
      <w:r w:rsidRPr="005B3785">
        <w:rPr>
          <w:rFonts w:ascii="Times New Roman" w:hAnsi="Times New Roman"/>
        </w:rPr>
        <w:t>Beierlein, C., Kemper, C. J., Kovaleva, A., &amp; Rammstedt, B. (2014). Political Efficacy Kurzskala (PEKS).</w:t>
      </w:r>
    </w:p>
    <w:p w14:paraId="75BFDF65" w14:textId="77777777" w:rsidR="006102AD" w:rsidRPr="005B3785" w:rsidRDefault="006102AD" w:rsidP="00477B08">
      <w:pPr>
        <w:pStyle w:val="CitaviBibliographyEntry"/>
        <w:spacing w:after="0" w:line="480" w:lineRule="auto"/>
        <w:rPr>
          <w:rFonts w:ascii="Times New Roman" w:hAnsi="Times New Roman"/>
        </w:rPr>
      </w:pPr>
    </w:p>
    <w:p w14:paraId="5CEA2046" w14:textId="77777777" w:rsidR="006102AD" w:rsidRDefault="006102AD" w:rsidP="00477B08">
      <w:pPr>
        <w:pStyle w:val="CitaviBibliographyEntry"/>
        <w:spacing w:after="0" w:line="480" w:lineRule="auto"/>
        <w:rPr>
          <w:rFonts w:ascii="Times New Roman" w:hAnsi="Times New Roman"/>
        </w:rPr>
      </w:pPr>
      <w:r w:rsidRPr="005B3785">
        <w:rPr>
          <w:rFonts w:ascii="Times New Roman" w:hAnsi="Times New Roman"/>
        </w:rPr>
        <w:t xml:space="preserve">Bremer, H., &amp; Kleemann-Göhring, M. (2010). „Defizit“ oder „Benachteiligung“: Zur Dialektik von Selbst- und Fremdausschließung in der politischen Erwachsenenbildung und zur Wirkung symbolischer Herrschaft: Zur Dialektik von Selbst- und Fremdausschließung in der politischen Erwachsenenbildung und zur Wirkung symbolischer Herrschaft. In C. Zeuner (Hrsg), </w:t>
      </w:r>
      <w:r w:rsidRPr="005B3785">
        <w:rPr>
          <w:rFonts w:ascii="Times New Roman" w:hAnsi="Times New Roman"/>
          <w:i/>
        </w:rPr>
        <w:t xml:space="preserve">Demokratie und Partizipation. Beiträge der Erwachsenenbildung. </w:t>
      </w:r>
      <w:r w:rsidRPr="005B3785">
        <w:rPr>
          <w:rFonts w:ascii="Times New Roman" w:hAnsi="Times New Roman"/>
        </w:rPr>
        <w:t>(</w:t>
      </w:r>
      <w:r>
        <w:rPr>
          <w:rFonts w:ascii="Times New Roman" w:hAnsi="Times New Roman"/>
        </w:rPr>
        <w:t>pp</w:t>
      </w:r>
      <w:r w:rsidRPr="005B3785">
        <w:rPr>
          <w:rFonts w:ascii="Times New Roman" w:hAnsi="Times New Roman"/>
        </w:rPr>
        <w:t xml:space="preserve">. 12–28). Hamburg: </w:t>
      </w:r>
      <w:r w:rsidRPr="005B3785">
        <w:rPr>
          <w:rStyle w:val="rslang"/>
          <w:rFonts w:ascii="Times New Roman" w:hAnsi="Times New Roman"/>
        </w:rPr>
        <w:t>Hamburger Hefte der Erwachsenenbildung</w:t>
      </w:r>
      <w:r w:rsidRPr="005B3785">
        <w:rPr>
          <w:rFonts w:ascii="Times New Roman" w:hAnsi="Times New Roman"/>
        </w:rPr>
        <w:t>.</w:t>
      </w:r>
    </w:p>
    <w:p w14:paraId="1CE4FD91" w14:textId="77777777" w:rsidR="006102AD" w:rsidRPr="005B3785" w:rsidRDefault="006102AD" w:rsidP="00477B08">
      <w:pPr>
        <w:pStyle w:val="CitaviBibliographyEntry"/>
        <w:spacing w:after="0" w:line="480" w:lineRule="auto"/>
        <w:rPr>
          <w:rFonts w:ascii="Times New Roman" w:hAnsi="Times New Roman"/>
        </w:rPr>
      </w:pPr>
    </w:p>
    <w:p w14:paraId="17E058E1" w14:textId="77777777" w:rsidR="006102AD" w:rsidRDefault="006102AD" w:rsidP="00477B08">
      <w:pPr>
        <w:pStyle w:val="CitaviBibliographyEntry"/>
        <w:spacing w:after="0" w:line="480" w:lineRule="auto"/>
        <w:rPr>
          <w:rFonts w:ascii="Times New Roman" w:hAnsi="Times New Roman"/>
        </w:rPr>
      </w:pPr>
      <w:r w:rsidRPr="005B3785">
        <w:rPr>
          <w:rFonts w:ascii="Times New Roman" w:hAnsi="Times New Roman"/>
        </w:rPr>
        <w:t xml:space="preserve">Butterwegge, C. (2015). </w:t>
      </w:r>
      <w:r w:rsidRPr="005B3785">
        <w:rPr>
          <w:rFonts w:ascii="Times New Roman" w:hAnsi="Times New Roman"/>
          <w:i/>
        </w:rPr>
        <w:t>Hartz IV und die Folgen: Auf dem Weg in eine andere Republik?</w:t>
      </w:r>
      <w:r w:rsidRPr="005B3785">
        <w:rPr>
          <w:rFonts w:ascii="Times New Roman" w:hAnsi="Times New Roman"/>
        </w:rPr>
        <w:t xml:space="preserve"> Weinheim [u. a.]: Beltz Juventa.</w:t>
      </w:r>
    </w:p>
    <w:p w14:paraId="14BE61DE" w14:textId="77777777" w:rsidR="006102AD" w:rsidRPr="005B3785" w:rsidRDefault="006102AD" w:rsidP="00477B08">
      <w:pPr>
        <w:pStyle w:val="CitaviBibliographyEntry"/>
        <w:spacing w:after="0" w:line="480" w:lineRule="auto"/>
        <w:rPr>
          <w:rFonts w:ascii="Times New Roman" w:hAnsi="Times New Roman"/>
        </w:rPr>
      </w:pPr>
    </w:p>
    <w:p w14:paraId="66BD48FA" w14:textId="77777777" w:rsidR="006102AD" w:rsidRDefault="006102AD" w:rsidP="00477B08">
      <w:pPr>
        <w:pStyle w:val="CitaviBibliographyEntry"/>
        <w:spacing w:after="0" w:line="480" w:lineRule="auto"/>
        <w:rPr>
          <w:rFonts w:ascii="Times New Roman" w:hAnsi="Times New Roman"/>
        </w:rPr>
      </w:pPr>
      <w:r w:rsidRPr="005B3785">
        <w:rPr>
          <w:rFonts w:ascii="Times New Roman" w:hAnsi="Times New Roman"/>
        </w:rPr>
        <w:t>Decker, O., Kiess, J., &amp; Brähler, E. (Hrsg.) (2016). Die enthemmte Mitte. Autoritäre und rechtsextreme Einstellung in Deutschland/Die Leipziger Mitte-Studie 2016. Unter Mitarbeit von E. Brähler, A. Brausam, O. Decker, E. Eggers, J. M. Fegert, A. Häusler et al. Gießen: Psychosozial-Verlag (Forschung psychosozial).</w:t>
      </w:r>
    </w:p>
    <w:p w14:paraId="06A59C08" w14:textId="77777777" w:rsidR="006102AD" w:rsidRPr="005B3785" w:rsidRDefault="006102AD" w:rsidP="00477B08">
      <w:pPr>
        <w:pStyle w:val="CitaviBibliographyEntry"/>
        <w:spacing w:after="0" w:line="480" w:lineRule="auto"/>
        <w:rPr>
          <w:rFonts w:ascii="Times New Roman" w:hAnsi="Times New Roman"/>
        </w:rPr>
      </w:pPr>
    </w:p>
    <w:p w14:paraId="1A5F8007" w14:textId="77777777" w:rsidR="006102AD" w:rsidRDefault="006102AD" w:rsidP="00477B08">
      <w:pPr>
        <w:pStyle w:val="CitaviBibliographyEntry"/>
        <w:spacing w:after="0" w:line="480" w:lineRule="auto"/>
        <w:rPr>
          <w:rFonts w:ascii="Times New Roman" w:hAnsi="Times New Roman"/>
        </w:rPr>
      </w:pPr>
      <w:r w:rsidRPr="005B3785">
        <w:rPr>
          <w:rFonts w:ascii="Times New Roman" w:hAnsi="Times New Roman"/>
        </w:rPr>
        <w:t xml:space="preserve">Dierbach, S. (2010). </w:t>
      </w:r>
      <w:r w:rsidRPr="005B3785">
        <w:rPr>
          <w:rFonts w:ascii="Times New Roman" w:hAnsi="Times New Roman"/>
          <w:i/>
        </w:rPr>
        <w:t>Jung - rechts - unpolitisch?: Die Ausblendung des Politischen im Diskurs über rechte Gewalt</w:t>
      </w:r>
      <w:r w:rsidRPr="005B3785">
        <w:rPr>
          <w:rFonts w:ascii="Times New Roman" w:hAnsi="Times New Roman"/>
        </w:rPr>
        <w:t xml:space="preserve">. </w:t>
      </w:r>
      <w:r w:rsidRPr="005B3785">
        <w:rPr>
          <w:rFonts w:ascii="Times New Roman" w:hAnsi="Times New Roman"/>
          <w:i/>
        </w:rPr>
        <w:t>Theorie bilden: Bd. 19</w:t>
      </w:r>
      <w:r w:rsidRPr="005B3785">
        <w:rPr>
          <w:rFonts w:ascii="Times New Roman" w:hAnsi="Times New Roman"/>
        </w:rPr>
        <w:t>. Bielefeld: Transcript.</w:t>
      </w:r>
    </w:p>
    <w:p w14:paraId="5CBF4AF5" w14:textId="77777777" w:rsidR="006102AD" w:rsidRPr="005B3785" w:rsidRDefault="006102AD" w:rsidP="00477B08">
      <w:pPr>
        <w:pStyle w:val="CitaviBibliographyEntry"/>
        <w:spacing w:after="0" w:line="480" w:lineRule="auto"/>
        <w:rPr>
          <w:rFonts w:ascii="Times New Roman" w:hAnsi="Times New Roman"/>
        </w:rPr>
      </w:pPr>
    </w:p>
    <w:p w14:paraId="31AB7E9C" w14:textId="77777777" w:rsidR="006102AD" w:rsidRDefault="006102AD" w:rsidP="00477B08">
      <w:pPr>
        <w:pStyle w:val="CitaviBibliographyEntry"/>
        <w:spacing w:after="0" w:line="480" w:lineRule="auto"/>
        <w:rPr>
          <w:rFonts w:ascii="Times New Roman" w:hAnsi="Times New Roman"/>
        </w:rPr>
      </w:pPr>
      <w:r w:rsidRPr="005B3785">
        <w:rPr>
          <w:rFonts w:ascii="Times New Roman" w:hAnsi="Times New Roman"/>
        </w:rPr>
        <w:t>Dvorak, J., Zeuner, C., &amp; Franke, A. (2005). Politische Partizipation durch gesellschaftliche Kompetenz: Curriculumentwicklung für die politische Grundbildung: Historische Kompetenz. Flensburg.</w:t>
      </w:r>
    </w:p>
    <w:p w14:paraId="1B24E5D7" w14:textId="77777777" w:rsidR="006102AD" w:rsidRPr="005B3785" w:rsidRDefault="006102AD" w:rsidP="00477B08">
      <w:pPr>
        <w:pStyle w:val="CitaviBibliographyEntry"/>
        <w:spacing w:after="0" w:line="480" w:lineRule="auto"/>
        <w:rPr>
          <w:rFonts w:ascii="Times New Roman" w:hAnsi="Times New Roman"/>
        </w:rPr>
      </w:pPr>
    </w:p>
    <w:p w14:paraId="7192214D" w14:textId="77777777" w:rsidR="006102AD" w:rsidRDefault="006102AD" w:rsidP="00477B08">
      <w:pPr>
        <w:pStyle w:val="CitaviBibliographyEntry"/>
        <w:spacing w:after="0" w:line="480" w:lineRule="auto"/>
        <w:rPr>
          <w:rFonts w:ascii="Times New Roman" w:hAnsi="Times New Roman"/>
        </w:rPr>
      </w:pPr>
      <w:r w:rsidRPr="005B3785">
        <w:rPr>
          <w:rFonts w:ascii="Times New Roman" w:hAnsi="Times New Roman"/>
        </w:rPr>
        <w:t>Faulstich, P</w:t>
      </w:r>
      <w:r>
        <w:rPr>
          <w:rFonts w:ascii="Times New Roman" w:hAnsi="Times New Roman"/>
        </w:rPr>
        <w:t>., &amp;</w:t>
      </w:r>
      <w:r w:rsidRPr="005B3785">
        <w:rPr>
          <w:rFonts w:ascii="Times New Roman" w:hAnsi="Times New Roman"/>
        </w:rPr>
        <w:t xml:space="preserve"> Bayer, M</w:t>
      </w:r>
      <w:r>
        <w:rPr>
          <w:rFonts w:ascii="Times New Roman" w:hAnsi="Times New Roman"/>
        </w:rPr>
        <w:t>.</w:t>
      </w:r>
      <w:r w:rsidRPr="005B3785">
        <w:rPr>
          <w:rFonts w:ascii="Times New Roman" w:hAnsi="Times New Roman"/>
        </w:rPr>
        <w:t xml:space="preserve"> (</w:t>
      </w:r>
      <w:r>
        <w:rPr>
          <w:rFonts w:ascii="Times New Roman" w:hAnsi="Times New Roman"/>
        </w:rPr>
        <w:t>Eds</w:t>
      </w:r>
      <w:r w:rsidRPr="005B3785">
        <w:rPr>
          <w:rFonts w:ascii="Times New Roman" w:hAnsi="Times New Roman"/>
        </w:rPr>
        <w:t>.) (2006). Lernwiderstände. Anlässe für Vermittlung und Beratung; [eine Initiative von ver.di, IG Metall und GEW]. Hamburg: VSA.</w:t>
      </w:r>
    </w:p>
    <w:p w14:paraId="0E1469A8" w14:textId="77777777" w:rsidR="006102AD" w:rsidRPr="005B3785" w:rsidRDefault="006102AD" w:rsidP="00477B08">
      <w:pPr>
        <w:pStyle w:val="CitaviBibliographyEntry"/>
        <w:spacing w:after="0" w:line="480" w:lineRule="auto"/>
        <w:rPr>
          <w:rFonts w:ascii="Times New Roman" w:hAnsi="Times New Roman"/>
        </w:rPr>
      </w:pPr>
    </w:p>
    <w:p w14:paraId="40260E0D" w14:textId="77777777" w:rsidR="006102AD" w:rsidRDefault="006102AD" w:rsidP="00477B08">
      <w:pPr>
        <w:pStyle w:val="CitaviBibliographyEntry"/>
        <w:spacing w:after="0" w:line="480" w:lineRule="auto"/>
        <w:rPr>
          <w:rFonts w:ascii="Times New Roman" w:hAnsi="Times New Roman"/>
        </w:rPr>
      </w:pPr>
      <w:r w:rsidRPr="005B3785">
        <w:rPr>
          <w:rFonts w:ascii="Times New Roman" w:hAnsi="Times New Roman"/>
        </w:rPr>
        <w:t>Frings, C. (2010). Soziales Vertrauen: Eine Integration der soziologischen und der ökonomischen Vertrauenstheorie. SpringerLink: Bücher. Wiesbaden: VS Verlag für Sozialwissenschaften.</w:t>
      </w:r>
    </w:p>
    <w:p w14:paraId="0EF5CF29" w14:textId="77777777" w:rsidR="006102AD" w:rsidRPr="005B3785" w:rsidRDefault="006102AD" w:rsidP="00477B08">
      <w:pPr>
        <w:pStyle w:val="CitaviBibliographyEntry"/>
        <w:spacing w:after="0" w:line="480" w:lineRule="auto"/>
        <w:rPr>
          <w:rFonts w:ascii="Times New Roman" w:hAnsi="Times New Roman"/>
        </w:rPr>
      </w:pPr>
    </w:p>
    <w:p w14:paraId="0719017C" w14:textId="77777777" w:rsidR="006102AD" w:rsidRDefault="006102AD" w:rsidP="00477B08">
      <w:pPr>
        <w:pStyle w:val="CitaviBibliographyEntry"/>
        <w:spacing w:after="0" w:line="480" w:lineRule="auto"/>
        <w:rPr>
          <w:rFonts w:ascii="Times New Roman" w:hAnsi="Times New Roman"/>
        </w:rPr>
      </w:pPr>
      <w:r w:rsidRPr="005B3785">
        <w:rPr>
          <w:rFonts w:ascii="Times New Roman" w:hAnsi="Times New Roman"/>
        </w:rPr>
        <w:t xml:space="preserve">Gensicke, T. (2006). Hauptbericht. In T. Gensicke, S. Picot, &amp; S. Geiss (Hrsg.), </w:t>
      </w:r>
      <w:r w:rsidRPr="005B3785">
        <w:rPr>
          <w:rFonts w:ascii="Times New Roman" w:hAnsi="Times New Roman"/>
          <w:i/>
        </w:rPr>
        <w:t xml:space="preserve">Freiwilliges Engagement in Deutschland. 1999-2004; Ergebnisse der repräsentativen Trenderhebung zu Ehrenamt, Freiwilligenarbeit und Bürgerschaftlichem Engagement </w:t>
      </w:r>
      <w:r>
        <w:rPr>
          <w:rFonts w:ascii="Times New Roman" w:hAnsi="Times New Roman"/>
        </w:rPr>
        <w:t>(pp</w:t>
      </w:r>
      <w:r w:rsidRPr="005B3785">
        <w:rPr>
          <w:rFonts w:ascii="Times New Roman" w:hAnsi="Times New Roman"/>
        </w:rPr>
        <w:t>.</w:t>
      </w:r>
      <w:r>
        <w:rPr>
          <w:rFonts w:ascii="Times New Roman" w:hAnsi="Times New Roman"/>
        </w:rPr>
        <w:t> 13-</w:t>
      </w:r>
      <w:r w:rsidRPr="005B3785">
        <w:rPr>
          <w:rFonts w:ascii="Times New Roman" w:hAnsi="Times New Roman"/>
        </w:rPr>
        <w:t>174). Wiesbaden: VS Verlag für Sozialwissenschaften.</w:t>
      </w:r>
    </w:p>
    <w:p w14:paraId="655A9E41" w14:textId="77777777" w:rsidR="006102AD" w:rsidRPr="005B3785" w:rsidRDefault="006102AD" w:rsidP="00477B08">
      <w:pPr>
        <w:pStyle w:val="CitaviBibliographyEntry"/>
        <w:spacing w:after="0" w:line="480" w:lineRule="auto"/>
        <w:rPr>
          <w:rFonts w:ascii="Times New Roman" w:hAnsi="Times New Roman"/>
        </w:rPr>
      </w:pPr>
    </w:p>
    <w:p w14:paraId="607603E5" w14:textId="77777777" w:rsidR="006102AD" w:rsidRDefault="006102AD" w:rsidP="00477B08">
      <w:pPr>
        <w:pStyle w:val="CitaviBibliographyEntry"/>
        <w:spacing w:after="0" w:line="480" w:lineRule="auto"/>
        <w:rPr>
          <w:rFonts w:ascii="Times New Roman" w:hAnsi="Times New Roman"/>
        </w:rPr>
      </w:pPr>
      <w:r w:rsidRPr="005B3785">
        <w:rPr>
          <w:rFonts w:ascii="Times New Roman" w:hAnsi="Times New Roman"/>
        </w:rPr>
        <w:t>Gensicke, T., &amp; Albert, M. (2015). Die Welt und Deutschland - Deutschland und die Welt. In M. Albert, K. Hurrelmann, &amp; G. Quenzel (Hrsg.),</w:t>
      </w:r>
      <w:r w:rsidRPr="005B3785">
        <w:rPr>
          <w:rFonts w:ascii="Times New Roman" w:hAnsi="Times New Roman"/>
          <w:i/>
        </w:rPr>
        <w:t xml:space="preserve"> Jugend 2015. Eine pragmatische Generation im Aufbruch: 17. Shell-Jugendstudie </w:t>
      </w:r>
      <w:r>
        <w:rPr>
          <w:rFonts w:ascii="Times New Roman" w:hAnsi="Times New Roman"/>
        </w:rPr>
        <w:t>(pp</w:t>
      </w:r>
      <w:r w:rsidRPr="005B3785">
        <w:rPr>
          <w:rFonts w:ascii="Times New Roman" w:hAnsi="Times New Roman"/>
        </w:rPr>
        <w:t>. 201</w:t>
      </w:r>
      <w:r>
        <w:rPr>
          <w:rFonts w:ascii="Times New Roman" w:hAnsi="Times New Roman"/>
        </w:rPr>
        <w:t>-</w:t>
      </w:r>
      <w:r w:rsidRPr="005B3785">
        <w:rPr>
          <w:rFonts w:ascii="Times New Roman" w:hAnsi="Times New Roman"/>
        </w:rPr>
        <w:t>236). Frankfurt a.</w:t>
      </w:r>
      <w:r>
        <w:rPr>
          <w:rFonts w:ascii="Times New Roman" w:hAnsi="Times New Roman"/>
        </w:rPr>
        <w:t xml:space="preserve"> </w:t>
      </w:r>
      <w:r w:rsidRPr="005B3785">
        <w:rPr>
          <w:rFonts w:ascii="Times New Roman" w:hAnsi="Times New Roman"/>
        </w:rPr>
        <w:t>M.: S. Fischer.</w:t>
      </w:r>
    </w:p>
    <w:p w14:paraId="2A8051B1" w14:textId="77777777" w:rsidR="006102AD" w:rsidRPr="005B3785" w:rsidRDefault="006102AD" w:rsidP="00477B08">
      <w:pPr>
        <w:pStyle w:val="CitaviBibliographyEntry"/>
        <w:spacing w:after="0" w:line="480" w:lineRule="auto"/>
        <w:rPr>
          <w:rFonts w:ascii="Times New Roman" w:hAnsi="Times New Roman"/>
        </w:rPr>
      </w:pPr>
    </w:p>
    <w:p w14:paraId="17CAC38D" w14:textId="77777777" w:rsidR="006102AD" w:rsidRDefault="006102AD" w:rsidP="00477B08">
      <w:pPr>
        <w:pStyle w:val="CitaviBibliographyEntry"/>
        <w:spacing w:after="0" w:line="480" w:lineRule="auto"/>
        <w:rPr>
          <w:rFonts w:ascii="Times New Roman" w:hAnsi="Times New Roman"/>
        </w:rPr>
      </w:pPr>
      <w:r w:rsidRPr="005B3785">
        <w:rPr>
          <w:rFonts w:ascii="Times New Roman" w:hAnsi="Times New Roman"/>
        </w:rPr>
        <w:t xml:space="preserve">Gensicke, T., &amp; Geiss, S. (2010). </w:t>
      </w:r>
      <w:r w:rsidRPr="005B3785">
        <w:rPr>
          <w:rFonts w:ascii="Times New Roman" w:hAnsi="Times New Roman"/>
          <w:i/>
        </w:rPr>
        <w:t>Hauptbericht des Freiwilligensurveys 2009: Ergebnisse der repräsentativen Trenderhebung zu Ehrenamt, Freiwilligenarbeit und Bürgerschaftlichem Engagement</w:t>
      </w:r>
      <w:r w:rsidRPr="005B3785">
        <w:rPr>
          <w:rFonts w:ascii="Times New Roman" w:hAnsi="Times New Roman"/>
        </w:rPr>
        <w:t>. München: VS Verlag für Sozialwissenschaften.</w:t>
      </w:r>
    </w:p>
    <w:p w14:paraId="58BCC04D" w14:textId="77777777" w:rsidR="006102AD" w:rsidRDefault="006102AD" w:rsidP="00477B08">
      <w:pPr>
        <w:pStyle w:val="CitaviBibliographyEntry"/>
        <w:spacing w:after="0" w:line="480" w:lineRule="auto"/>
        <w:rPr>
          <w:rFonts w:ascii="Times New Roman" w:hAnsi="Times New Roman"/>
        </w:rPr>
      </w:pPr>
    </w:p>
    <w:p w14:paraId="5C2A4022" w14:textId="77777777" w:rsidR="006102AD" w:rsidRDefault="006102AD" w:rsidP="00477B08">
      <w:pPr>
        <w:pStyle w:val="CitaviBibliographyEntry"/>
        <w:spacing w:after="0" w:line="480" w:lineRule="auto"/>
        <w:rPr>
          <w:rFonts w:ascii="Times New Roman" w:hAnsi="Times New Roman"/>
        </w:rPr>
      </w:pPr>
      <w:r w:rsidRPr="005B3785">
        <w:rPr>
          <w:rFonts w:ascii="Times New Roman" w:hAnsi="Times New Roman"/>
        </w:rPr>
        <w:t xml:space="preserve">Heitmeyer, W. (2002). </w:t>
      </w:r>
      <w:r w:rsidRPr="005B3785">
        <w:rPr>
          <w:rFonts w:ascii="Times New Roman" w:hAnsi="Times New Roman"/>
          <w:i/>
        </w:rPr>
        <w:t xml:space="preserve">Deutsche Zustände </w:t>
      </w:r>
      <w:r w:rsidRPr="005B3785">
        <w:rPr>
          <w:rFonts w:ascii="Times New Roman" w:hAnsi="Times New Roman"/>
        </w:rPr>
        <w:t xml:space="preserve">(1. Aufl.). </w:t>
      </w:r>
      <w:r w:rsidRPr="005B3785">
        <w:rPr>
          <w:rFonts w:ascii="Times New Roman" w:hAnsi="Times New Roman"/>
          <w:i/>
        </w:rPr>
        <w:t>Edition Suhrkamp: 2290, 2332, 2388, 2454, 2484, 2525, 2552</w:t>
      </w:r>
      <w:r w:rsidRPr="005B3785">
        <w:rPr>
          <w:rFonts w:ascii="Times New Roman" w:hAnsi="Times New Roman"/>
        </w:rPr>
        <w:t>. Frankfurt a.</w:t>
      </w:r>
      <w:r>
        <w:rPr>
          <w:rFonts w:ascii="Times New Roman" w:hAnsi="Times New Roman"/>
        </w:rPr>
        <w:t xml:space="preserve"> </w:t>
      </w:r>
      <w:r w:rsidRPr="005B3785">
        <w:rPr>
          <w:rFonts w:ascii="Times New Roman" w:hAnsi="Times New Roman"/>
        </w:rPr>
        <w:t>M.: Suhrkamp.</w:t>
      </w:r>
    </w:p>
    <w:p w14:paraId="5BEB4359" w14:textId="77777777" w:rsidR="006102AD" w:rsidRPr="005B3785" w:rsidRDefault="006102AD" w:rsidP="00477B08">
      <w:pPr>
        <w:pStyle w:val="CitaviBibliographyEntry"/>
        <w:spacing w:after="0" w:line="480" w:lineRule="auto"/>
        <w:rPr>
          <w:rFonts w:ascii="Times New Roman" w:hAnsi="Times New Roman"/>
        </w:rPr>
      </w:pPr>
    </w:p>
    <w:p w14:paraId="6B8395DB" w14:textId="77777777" w:rsidR="006102AD" w:rsidRDefault="006102AD" w:rsidP="00477B08">
      <w:pPr>
        <w:pStyle w:val="CitaviBibliographyEntry"/>
        <w:spacing w:after="0" w:line="480" w:lineRule="auto"/>
        <w:rPr>
          <w:rFonts w:ascii="Times New Roman" w:hAnsi="Times New Roman"/>
        </w:rPr>
      </w:pPr>
      <w:r w:rsidRPr="005B3785">
        <w:rPr>
          <w:rFonts w:ascii="Times New Roman" w:hAnsi="Times New Roman"/>
        </w:rPr>
        <w:t>Holzkamp, Klaus (1993): Lernen. Subjektwissenschaftliche Grundlegung. Frankfurt a.</w:t>
      </w:r>
      <w:r>
        <w:rPr>
          <w:rFonts w:ascii="Times New Roman" w:hAnsi="Times New Roman"/>
        </w:rPr>
        <w:t xml:space="preserve"> </w:t>
      </w:r>
      <w:r w:rsidRPr="005B3785">
        <w:rPr>
          <w:rFonts w:ascii="Times New Roman" w:hAnsi="Times New Roman"/>
        </w:rPr>
        <w:t>M., New York: Campus.</w:t>
      </w:r>
    </w:p>
    <w:p w14:paraId="3218DB4F" w14:textId="77777777" w:rsidR="006102AD" w:rsidRPr="005B3785" w:rsidRDefault="006102AD" w:rsidP="00477B08">
      <w:pPr>
        <w:pStyle w:val="CitaviBibliographyEntry"/>
        <w:spacing w:after="0" w:line="480" w:lineRule="auto"/>
        <w:rPr>
          <w:rFonts w:ascii="Times New Roman" w:hAnsi="Times New Roman"/>
        </w:rPr>
      </w:pPr>
    </w:p>
    <w:p w14:paraId="7EA23D23" w14:textId="77777777" w:rsidR="006102AD" w:rsidRDefault="006102AD" w:rsidP="00477B08">
      <w:pPr>
        <w:pStyle w:val="CitaviBibliographyEntry"/>
        <w:spacing w:after="0" w:line="480" w:lineRule="auto"/>
        <w:rPr>
          <w:rFonts w:ascii="Times New Roman" w:hAnsi="Times New Roman"/>
        </w:rPr>
      </w:pPr>
      <w:r w:rsidRPr="005B3785">
        <w:rPr>
          <w:rFonts w:ascii="Times New Roman" w:hAnsi="Times New Roman"/>
        </w:rPr>
        <w:t>Hufer, K.-P. (2013). Politische Erw</w:t>
      </w:r>
      <w:r>
        <w:rPr>
          <w:rFonts w:ascii="Times New Roman" w:hAnsi="Times New Roman"/>
        </w:rPr>
        <w:t>achsenenbildung. (pp</w:t>
      </w:r>
      <w:r w:rsidRPr="005B3785">
        <w:rPr>
          <w:rFonts w:ascii="Times New Roman" w:hAnsi="Times New Roman"/>
        </w:rPr>
        <w:t>. 1</w:t>
      </w:r>
      <w:r>
        <w:rPr>
          <w:rFonts w:ascii="Times New Roman" w:hAnsi="Times New Roman"/>
        </w:rPr>
        <w:t>-</w:t>
      </w:r>
      <w:r w:rsidRPr="005B3785">
        <w:rPr>
          <w:rFonts w:ascii="Times New Roman" w:hAnsi="Times New Roman"/>
        </w:rPr>
        <w:t>20) Enzyklopädie Erziehungswissenschaft Online, Fachgebiet Erwachsenenbildung. Abgerufen von https://www.beltz.de/fachmedien/erziehungs_und_sozialwissenschaften/enzyklopaedie_erziehungswissenschaft_online_eeo.html</w:t>
      </w:r>
    </w:p>
    <w:p w14:paraId="311066F2" w14:textId="77777777" w:rsidR="006102AD" w:rsidRPr="005B3785" w:rsidRDefault="006102AD" w:rsidP="00477B08">
      <w:pPr>
        <w:pStyle w:val="CitaviBibliographyEntry"/>
        <w:spacing w:after="0" w:line="480" w:lineRule="auto"/>
        <w:rPr>
          <w:rFonts w:ascii="Times New Roman" w:hAnsi="Times New Roman"/>
        </w:rPr>
      </w:pPr>
    </w:p>
    <w:p w14:paraId="5D4A15DF" w14:textId="77777777" w:rsidR="006102AD" w:rsidRDefault="006102AD" w:rsidP="00477B08">
      <w:pPr>
        <w:pStyle w:val="CitaviBibliographyEntry"/>
        <w:spacing w:after="0" w:line="480" w:lineRule="auto"/>
        <w:rPr>
          <w:rFonts w:ascii="Times New Roman" w:hAnsi="Times New Roman"/>
        </w:rPr>
      </w:pPr>
      <w:r w:rsidRPr="005B3785">
        <w:rPr>
          <w:rFonts w:ascii="Times New Roman" w:hAnsi="Times New Roman"/>
        </w:rPr>
        <w:t xml:space="preserve">Kaufmann, K., Reichart, E., &amp; Schömann, K. (2014). Der Beitrag von Wohlfahrtsstaatsregimen und Varianten kapitalistischer Wirtschaftssysteme zur Erklärung von Weiterbildungsteilnahmestrukturen bei Ländervergleichen. </w:t>
      </w:r>
      <w:r w:rsidRPr="005B3785">
        <w:rPr>
          <w:rFonts w:ascii="Times New Roman" w:hAnsi="Times New Roman"/>
          <w:i/>
        </w:rPr>
        <w:t>REPORT Literatur- und Forschungsreport Weiterbildung, 37</w:t>
      </w:r>
      <w:r>
        <w:rPr>
          <w:rFonts w:ascii="Times New Roman" w:hAnsi="Times New Roman"/>
        </w:rPr>
        <w:t>(2), (pp</w:t>
      </w:r>
      <w:r w:rsidRPr="005B3785">
        <w:rPr>
          <w:rFonts w:ascii="Times New Roman" w:hAnsi="Times New Roman"/>
        </w:rPr>
        <w:t>. 39</w:t>
      </w:r>
      <w:r>
        <w:rPr>
          <w:rFonts w:ascii="Times New Roman" w:hAnsi="Times New Roman"/>
        </w:rPr>
        <w:t>-</w:t>
      </w:r>
      <w:r w:rsidRPr="005B3785">
        <w:rPr>
          <w:rFonts w:ascii="Times New Roman" w:hAnsi="Times New Roman"/>
        </w:rPr>
        <w:t>54). Heidelberg, Berlin: Springer.</w:t>
      </w:r>
    </w:p>
    <w:p w14:paraId="7E36028B" w14:textId="77777777" w:rsidR="006102AD" w:rsidRPr="005B3785" w:rsidRDefault="006102AD" w:rsidP="00477B08">
      <w:pPr>
        <w:pStyle w:val="CitaviBibliographyEntry"/>
        <w:spacing w:after="0" w:line="480" w:lineRule="auto"/>
        <w:rPr>
          <w:rFonts w:ascii="Times New Roman" w:hAnsi="Times New Roman"/>
        </w:rPr>
      </w:pPr>
    </w:p>
    <w:p w14:paraId="790C9C55" w14:textId="77777777" w:rsidR="006102AD" w:rsidRDefault="006102AD" w:rsidP="00477B08">
      <w:pPr>
        <w:pStyle w:val="CitaviBibliographyEntry"/>
        <w:spacing w:after="0" w:line="480" w:lineRule="auto"/>
        <w:rPr>
          <w:rFonts w:ascii="Times New Roman" w:hAnsi="Times New Roman"/>
        </w:rPr>
      </w:pPr>
      <w:r w:rsidRPr="005B3785">
        <w:rPr>
          <w:rFonts w:ascii="Times New Roman" w:hAnsi="Times New Roman"/>
        </w:rPr>
        <w:t xml:space="preserve">Kaufmann, S., &amp; Stützle, I. (2015). </w:t>
      </w:r>
      <w:r w:rsidRPr="005B3785">
        <w:rPr>
          <w:rFonts w:ascii="Times New Roman" w:hAnsi="Times New Roman"/>
          <w:i/>
        </w:rPr>
        <w:t>Kapitalismus: Die ersten 200 Jahre: Thomas Pikettys „Das Kapital im 21. Jahrhundert“ </w:t>
      </w:r>
      <w:r w:rsidRPr="005B3785">
        <w:rPr>
          <w:rFonts w:ascii="Times New Roman" w:hAnsi="Times New Roman"/>
        </w:rPr>
        <w:t>–</w:t>
      </w:r>
      <w:r w:rsidRPr="005B3785">
        <w:rPr>
          <w:rFonts w:ascii="Times New Roman" w:hAnsi="Times New Roman"/>
          <w:i/>
        </w:rPr>
        <w:t xml:space="preserve"> Einführung, Debatte, Kritik </w:t>
      </w:r>
      <w:r w:rsidRPr="005B3785">
        <w:rPr>
          <w:rFonts w:ascii="Times New Roman" w:hAnsi="Times New Roman"/>
        </w:rPr>
        <w:t xml:space="preserve">(2., durchges. Aufl.). </w:t>
      </w:r>
      <w:r w:rsidRPr="005B3785">
        <w:rPr>
          <w:rFonts w:ascii="Times New Roman" w:hAnsi="Times New Roman"/>
          <w:i/>
        </w:rPr>
        <w:t>Kapital &amp; Krise: Vol. 1</w:t>
      </w:r>
      <w:r w:rsidRPr="005B3785">
        <w:rPr>
          <w:rFonts w:ascii="Times New Roman" w:hAnsi="Times New Roman"/>
        </w:rPr>
        <w:t>. Berlin: Bertz + Fischer.</w:t>
      </w:r>
    </w:p>
    <w:p w14:paraId="73D6633C" w14:textId="77777777" w:rsidR="006102AD" w:rsidRPr="005B3785" w:rsidRDefault="006102AD" w:rsidP="00477B08">
      <w:pPr>
        <w:pStyle w:val="CitaviBibliographyEntry"/>
        <w:spacing w:after="0" w:line="480" w:lineRule="auto"/>
        <w:rPr>
          <w:rFonts w:ascii="Times New Roman" w:hAnsi="Times New Roman"/>
        </w:rPr>
      </w:pPr>
    </w:p>
    <w:p w14:paraId="02A9E678" w14:textId="77777777" w:rsidR="006102AD" w:rsidRDefault="006102AD" w:rsidP="00477B08">
      <w:pPr>
        <w:pStyle w:val="CitaviBibliographyEntry"/>
        <w:spacing w:after="0" w:line="480" w:lineRule="auto"/>
        <w:rPr>
          <w:rFonts w:ascii="Times New Roman" w:hAnsi="Times New Roman"/>
        </w:rPr>
      </w:pPr>
      <w:r w:rsidRPr="005B3785">
        <w:rPr>
          <w:rFonts w:ascii="Times New Roman" w:hAnsi="Times New Roman"/>
        </w:rPr>
        <w:t xml:space="preserve">Lehmann, R. H., Peek, R., &amp; Gänsfuß, R. (1997). Aspekte der Lernausgangslage und der Lernentwicklung: Bericht über die Erhebung im September 1996 (LAU 5). Abgerufen von www.hamburger-bildungsserver.de/schulentwicklung/lau/lau5 </w:t>
      </w:r>
    </w:p>
    <w:p w14:paraId="4AFB2BD6" w14:textId="77777777" w:rsidR="006102AD" w:rsidRPr="005B3785" w:rsidRDefault="006102AD" w:rsidP="00477B08">
      <w:pPr>
        <w:pStyle w:val="CitaviBibliographyEntry"/>
        <w:spacing w:after="0" w:line="480" w:lineRule="auto"/>
        <w:rPr>
          <w:rFonts w:ascii="Times New Roman" w:hAnsi="Times New Roman"/>
        </w:rPr>
      </w:pPr>
    </w:p>
    <w:p w14:paraId="20CD8AF6" w14:textId="77777777" w:rsidR="006102AD" w:rsidRDefault="006102AD" w:rsidP="00477B08">
      <w:pPr>
        <w:pStyle w:val="CitaviBibliographyEntry"/>
        <w:spacing w:after="0" w:line="480" w:lineRule="auto"/>
        <w:rPr>
          <w:rFonts w:ascii="Times New Roman" w:hAnsi="Times New Roman"/>
        </w:rPr>
      </w:pPr>
      <w:r w:rsidRPr="005B3785">
        <w:rPr>
          <w:rFonts w:ascii="Times New Roman" w:hAnsi="Times New Roman"/>
        </w:rPr>
        <w:t>Liesner, A. (2012): „Bildungsferne Schichten“? Über Armut als Bildungsrisiko und als Ergebnis von Bildungsausgrenzung. In D. Kirchhoefer</w:t>
      </w:r>
      <w:r>
        <w:rPr>
          <w:rFonts w:ascii="Times New Roman" w:hAnsi="Times New Roman"/>
        </w:rPr>
        <w:t>,</w:t>
      </w:r>
      <w:r w:rsidRPr="005B3785">
        <w:rPr>
          <w:rFonts w:ascii="Times New Roman" w:hAnsi="Times New Roman"/>
        </w:rPr>
        <w:t xml:space="preserve"> &amp; Ch. Uhlig (Hrsg.): Bildung und soziale Differenzierung in der Gesellschaft. Frankfurt: Peter Lang (Gesellschaft und Erziehung: historische und systematische Perspektiven, Bd. 9).</w:t>
      </w:r>
    </w:p>
    <w:p w14:paraId="0858BE29" w14:textId="77777777" w:rsidR="006102AD" w:rsidRPr="005B3785" w:rsidRDefault="006102AD" w:rsidP="00477B08">
      <w:pPr>
        <w:pStyle w:val="CitaviBibliographyEntry"/>
        <w:spacing w:after="0" w:line="480" w:lineRule="auto"/>
        <w:rPr>
          <w:rFonts w:ascii="Times New Roman" w:hAnsi="Times New Roman"/>
        </w:rPr>
      </w:pPr>
    </w:p>
    <w:p w14:paraId="4F83E69D" w14:textId="77777777" w:rsidR="006102AD" w:rsidRDefault="006102AD" w:rsidP="00477B08">
      <w:pPr>
        <w:pStyle w:val="CitaviBibliographyEntry"/>
        <w:spacing w:after="0" w:line="480" w:lineRule="auto"/>
        <w:rPr>
          <w:rFonts w:ascii="Times New Roman" w:hAnsi="Times New Roman"/>
        </w:rPr>
      </w:pPr>
      <w:r w:rsidRPr="005B3785">
        <w:rPr>
          <w:rFonts w:ascii="Times New Roman" w:hAnsi="Times New Roman"/>
        </w:rPr>
        <w:t>Mania, E., &amp; Tröster, M. (2015). Finanzielle Grundbildung: Konzepte, Förderdiagnostik und Angebote. In A. Grotlüschen</w:t>
      </w:r>
      <w:r>
        <w:rPr>
          <w:rFonts w:ascii="Times New Roman" w:hAnsi="Times New Roman"/>
        </w:rPr>
        <w:t>,</w:t>
      </w:r>
      <w:r w:rsidRPr="005B3785">
        <w:rPr>
          <w:rFonts w:ascii="Times New Roman" w:hAnsi="Times New Roman"/>
        </w:rPr>
        <w:t xml:space="preserve"> &amp; D. Zimper (</w:t>
      </w:r>
      <w:r>
        <w:rPr>
          <w:rFonts w:ascii="Times New Roman" w:hAnsi="Times New Roman"/>
        </w:rPr>
        <w:t>Eds</w:t>
      </w:r>
      <w:r w:rsidRPr="005B3785">
        <w:rPr>
          <w:rFonts w:ascii="Times New Roman" w:hAnsi="Times New Roman"/>
        </w:rPr>
        <w:t xml:space="preserve">.), </w:t>
      </w:r>
      <w:r w:rsidRPr="005B3785">
        <w:rPr>
          <w:rFonts w:ascii="Times New Roman" w:hAnsi="Times New Roman"/>
          <w:i/>
        </w:rPr>
        <w:t xml:space="preserve">Alphabetisierung und Grundbildung: Vol. 11. Lern- und Adressatenforschung zur Grundbildung </w:t>
      </w:r>
      <w:r>
        <w:rPr>
          <w:rFonts w:ascii="Times New Roman" w:hAnsi="Times New Roman"/>
        </w:rPr>
        <w:t>(pp</w:t>
      </w:r>
      <w:r w:rsidRPr="005B3785">
        <w:rPr>
          <w:rFonts w:ascii="Times New Roman" w:hAnsi="Times New Roman"/>
        </w:rPr>
        <w:t>. 45</w:t>
      </w:r>
      <w:r>
        <w:rPr>
          <w:rFonts w:ascii="Times New Roman" w:hAnsi="Times New Roman"/>
        </w:rPr>
        <w:t>-</w:t>
      </w:r>
      <w:r w:rsidRPr="005B3785">
        <w:rPr>
          <w:rFonts w:ascii="Times New Roman" w:hAnsi="Times New Roman"/>
        </w:rPr>
        <w:t>60). Münster [</w:t>
      </w:r>
      <w:r>
        <w:rPr>
          <w:rFonts w:ascii="Times New Roman" w:hAnsi="Times New Roman"/>
        </w:rPr>
        <w:t>u.</w:t>
      </w:r>
      <w:r w:rsidRPr="005B3785">
        <w:rPr>
          <w:rFonts w:ascii="Times New Roman" w:hAnsi="Times New Roman"/>
        </w:rPr>
        <w:t>a.]: Waxmann.</w:t>
      </w:r>
    </w:p>
    <w:p w14:paraId="1232E5F6" w14:textId="77777777" w:rsidR="006102AD" w:rsidRPr="005B3785" w:rsidRDefault="006102AD" w:rsidP="00477B08">
      <w:pPr>
        <w:pStyle w:val="CitaviBibliographyEntry"/>
        <w:spacing w:after="0" w:line="480" w:lineRule="auto"/>
        <w:rPr>
          <w:rFonts w:ascii="Times New Roman" w:hAnsi="Times New Roman"/>
        </w:rPr>
      </w:pPr>
    </w:p>
    <w:p w14:paraId="45ACC870" w14:textId="77777777" w:rsidR="006102AD" w:rsidRDefault="006102AD" w:rsidP="00477B08">
      <w:pPr>
        <w:pStyle w:val="CitaviBibliographyEntry"/>
        <w:spacing w:after="0" w:line="480" w:lineRule="auto"/>
        <w:rPr>
          <w:rFonts w:ascii="Times New Roman" w:hAnsi="Times New Roman"/>
          <w:lang w:val="en-GB"/>
        </w:rPr>
      </w:pPr>
      <w:r w:rsidRPr="005B3785">
        <w:rPr>
          <w:rFonts w:ascii="Times New Roman" w:hAnsi="Times New Roman"/>
          <w:lang w:val="en-US"/>
        </w:rPr>
        <w:t xml:space="preserve">OECD. (2011). </w:t>
      </w:r>
      <w:r w:rsidRPr="005B3785">
        <w:rPr>
          <w:rFonts w:ascii="Times New Roman" w:hAnsi="Times New Roman"/>
          <w:lang w:val="en-GB"/>
        </w:rPr>
        <w:t>PIAAC Conceptual Framework of the Background Questionnaire Main Survey: Ref. Doc.: PIAAC (2011_11)</w:t>
      </w:r>
      <w:r w:rsidR="005B21E1">
        <w:rPr>
          <w:rFonts w:ascii="Times New Roman" w:hAnsi="Times New Roman"/>
          <w:lang w:val="en-GB"/>
        </w:rPr>
        <w:t xml:space="preserve"> </w:t>
      </w:r>
      <w:r w:rsidRPr="005B3785">
        <w:rPr>
          <w:rFonts w:ascii="Times New Roman" w:hAnsi="Times New Roman"/>
          <w:lang w:val="en-GB"/>
        </w:rPr>
        <w:t>MS_BQ_ConceptualFramework.docx.</w:t>
      </w:r>
    </w:p>
    <w:p w14:paraId="109241C3" w14:textId="77777777" w:rsidR="006102AD" w:rsidRPr="005B3785" w:rsidRDefault="006102AD" w:rsidP="00477B08">
      <w:pPr>
        <w:pStyle w:val="CitaviBibliographyEntry"/>
        <w:spacing w:after="0" w:line="480" w:lineRule="auto"/>
        <w:rPr>
          <w:rFonts w:ascii="Times New Roman" w:hAnsi="Times New Roman"/>
          <w:lang w:val="en-GB"/>
        </w:rPr>
      </w:pPr>
    </w:p>
    <w:p w14:paraId="55F19DD8" w14:textId="77777777" w:rsidR="006102AD" w:rsidRDefault="006102AD" w:rsidP="00477B08">
      <w:pPr>
        <w:pStyle w:val="CitaviBibliographyEntry"/>
        <w:spacing w:after="0" w:line="480" w:lineRule="auto"/>
        <w:rPr>
          <w:rFonts w:ascii="Times New Roman" w:hAnsi="Times New Roman"/>
          <w:i/>
        </w:rPr>
      </w:pPr>
      <w:r w:rsidRPr="005B3785">
        <w:rPr>
          <w:rFonts w:ascii="Times New Roman" w:hAnsi="Times New Roman"/>
          <w:lang w:val="en-GB"/>
        </w:rPr>
        <w:t xml:space="preserve">OECD. (2013). </w:t>
      </w:r>
      <w:r w:rsidRPr="005B3785">
        <w:rPr>
          <w:rFonts w:ascii="Times New Roman" w:hAnsi="Times New Roman"/>
          <w:i/>
          <w:lang w:val="en-GB"/>
        </w:rPr>
        <w:t xml:space="preserve">OECD Skills Outlook 2013. First Results from The Survey of Adult Skills. </w:t>
      </w:r>
      <w:r w:rsidRPr="005B3785">
        <w:rPr>
          <w:rFonts w:ascii="Times New Roman" w:hAnsi="Times New Roman"/>
          <w:i/>
        </w:rPr>
        <w:t>Abgerufen von http://www.oecd-ilibrary.org/docserver/download/8713011e.pdf?expires=1461672541&amp;id=id&amp;accname=guest&amp;checksum=D4824355A3290CD938970B52C9AC3A8B</w:t>
      </w:r>
    </w:p>
    <w:p w14:paraId="314156AA" w14:textId="77777777" w:rsidR="006102AD" w:rsidRPr="005B3785" w:rsidRDefault="006102AD" w:rsidP="00477B08">
      <w:pPr>
        <w:pStyle w:val="CitaviBibliographyEntry"/>
        <w:spacing w:after="0" w:line="480" w:lineRule="auto"/>
        <w:rPr>
          <w:rFonts w:ascii="Times New Roman" w:hAnsi="Times New Roman"/>
          <w:i/>
        </w:rPr>
      </w:pPr>
    </w:p>
    <w:p w14:paraId="32A68084" w14:textId="77777777" w:rsidR="006102AD" w:rsidRDefault="006102AD" w:rsidP="00477B08">
      <w:pPr>
        <w:pStyle w:val="CitaviBibliographyEntry"/>
        <w:spacing w:after="0" w:line="480" w:lineRule="auto"/>
        <w:rPr>
          <w:rFonts w:ascii="Times New Roman" w:hAnsi="Times New Roman"/>
        </w:rPr>
      </w:pPr>
      <w:r w:rsidRPr="005B3785">
        <w:rPr>
          <w:rFonts w:ascii="Times New Roman" w:hAnsi="Times New Roman"/>
        </w:rPr>
        <w:t xml:space="preserve">Ostrom, E. (2011). </w:t>
      </w:r>
      <w:r w:rsidRPr="005B3785">
        <w:rPr>
          <w:rFonts w:ascii="Times New Roman" w:hAnsi="Times New Roman"/>
          <w:i/>
        </w:rPr>
        <w:t>Was mehr wird, wenn wir teilen: Vom gesellschaftlichen Wert der Gemeingüter</w:t>
      </w:r>
      <w:r w:rsidRPr="005B3785">
        <w:rPr>
          <w:rFonts w:ascii="Times New Roman" w:hAnsi="Times New Roman"/>
        </w:rPr>
        <w:t>. München: Oekom.</w:t>
      </w:r>
    </w:p>
    <w:p w14:paraId="389D09BE" w14:textId="77777777" w:rsidR="006102AD" w:rsidRDefault="006102AD" w:rsidP="00477B08">
      <w:pPr>
        <w:pStyle w:val="CitaviBibliographyEntry"/>
        <w:spacing w:after="0" w:line="480" w:lineRule="auto"/>
        <w:rPr>
          <w:rFonts w:ascii="Times New Roman" w:hAnsi="Times New Roman"/>
        </w:rPr>
      </w:pPr>
    </w:p>
    <w:p w14:paraId="7B8B83EE" w14:textId="77777777" w:rsidR="003854B0" w:rsidRDefault="003854B0" w:rsidP="00477B08">
      <w:pPr>
        <w:pStyle w:val="CitaviBibliographyEntry"/>
        <w:spacing w:after="0" w:line="480" w:lineRule="auto"/>
        <w:rPr>
          <w:rFonts w:ascii="Times New Roman" w:hAnsi="Times New Roman"/>
        </w:rPr>
      </w:pPr>
      <w:r>
        <w:rPr>
          <w:rFonts w:ascii="Times New Roman" w:hAnsi="Times New Roman"/>
        </w:rPr>
        <w:t>Pape, N. (2011).</w:t>
      </w:r>
      <w:r w:rsidRPr="003854B0">
        <w:rPr>
          <w:rFonts w:ascii="Times New Roman" w:hAnsi="Times New Roman"/>
        </w:rPr>
        <w:t xml:space="preserve"> </w:t>
      </w:r>
      <w:r w:rsidRPr="003854B0">
        <w:rPr>
          <w:rFonts w:ascii="Times New Roman" w:hAnsi="Times New Roman"/>
          <w:i/>
        </w:rPr>
        <w:t>Politische Partizipation aus der Sicht funktionaler Analphabet/inn/en</w:t>
      </w:r>
      <w:r w:rsidRPr="003854B0">
        <w:rPr>
          <w:rFonts w:ascii="Times New Roman" w:hAnsi="Times New Roman"/>
        </w:rPr>
        <w:t>. In: Report. Zeitschrift für Weiterbildungsforschung, 34. Jg., H. 3, 15-23</w:t>
      </w:r>
    </w:p>
    <w:p w14:paraId="32512D5C" w14:textId="77777777" w:rsidR="003854B0" w:rsidRPr="005B3785" w:rsidRDefault="003854B0" w:rsidP="00477B08">
      <w:pPr>
        <w:pStyle w:val="CitaviBibliographyEntry"/>
        <w:spacing w:after="0" w:line="480" w:lineRule="auto"/>
        <w:rPr>
          <w:rFonts w:ascii="Times New Roman" w:hAnsi="Times New Roman"/>
        </w:rPr>
      </w:pPr>
    </w:p>
    <w:p w14:paraId="6F45EB79" w14:textId="77777777" w:rsidR="006102AD" w:rsidRDefault="006102AD" w:rsidP="00477B08">
      <w:pPr>
        <w:pStyle w:val="CitaviBibliographyEntry"/>
        <w:spacing w:after="0" w:line="480" w:lineRule="auto"/>
        <w:rPr>
          <w:rFonts w:ascii="Times New Roman" w:hAnsi="Times New Roman"/>
          <w:i/>
        </w:rPr>
      </w:pPr>
      <w:r w:rsidRPr="005B3785">
        <w:rPr>
          <w:rFonts w:ascii="Times New Roman" w:hAnsi="Times New Roman"/>
        </w:rPr>
        <w:t xml:space="preserve">Partner der Nationalen Strategie. (2012). </w:t>
      </w:r>
      <w:r w:rsidRPr="005B3785">
        <w:rPr>
          <w:rFonts w:ascii="Times New Roman" w:hAnsi="Times New Roman"/>
          <w:i/>
        </w:rPr>
        <w:t xml:space="preserve">Vereinbarung über eine gemeinsame nationale Strategie für Alphabetisierung und Grundbildung Erwachsener in Deutschland 2012-2016. </w:t>
      </w:r>
      <w:r w:rsidRPr="003854B0">
        <w:rPr>
          <w:rFonts w:ascii="Times New Roman" w:hAnsi="Times New Roman"/>
        </w:rPr>
        <w:t>Abgerufen von https://www.bmbf.de/files/NEU_strategiepapier_nationale_alphabetisierung.pdf</w:t>
      </w:r>
    </w:p>
    <w:p w14:paraId="686784FB" w14:textId="77777777" w:rsidR="006102AD" w:rsidRPr="005B3785" w:rsidRDefault="006102AD" w:rsidP="00477B08">
      <w:pPr>
        <w:pStyle w:val="CitaviBibliographyEntry"/>
        <w:spacing w:after="0" w:line="480" w:lineRule="auto"/>
        <w:rPr>
          <w:rFonts w:ascii="Times New Roman" w:hAnsi="Times New Roman"/>
          <w:i/>
        </w:rPr>
      </w:pPr>
    </w:p>
    <w:p w14:paraId="66656D1E" w14:textId="77777777" w:rsidR="006102AD" w:rsidRDefault="006102AD" w:rsidP="00477B08">
      <w:pPr>
        <w:pStyle w:val="CitaviBibliographyEntry"/>
        <w:spacing w:after="0" w:line="480" w:lineRule="auto"/>
        <w:rPr>
          <w:rFonts w:ascii="Times New Roman" w:hAnsi="Times New Roman"/>
        </w:rPr>
      </w:pPr>
      <w:r w:rsidRPr="005B3785">
        <w:rPr>
          <w:rFonts w:ascii="Times New Roman" w:hAnsi="Times New Roman"/>
        </w:rPr>
        <w:t xml:space="preserve">Piketty, T. (2014). </w:t>
      </w:r>
      <w:r w:rsidRPr="005B3785">
        <w:rPr>
          <w:rFonts w:ascii="Times New Roman" w:hAnsi="Times New Roman"/>
          <w:i/>
        </w:rPr>
        <w:t>Das Kapital im 21. Jahrhundert</w:t>
      </w:r>
      <w:r w:rsidRPr="005B3785">
        <w:rPr>
          <w:rFonts w:ascii="Times New Roman" w:hAnsi="Times New Roman"/>
        </w:rPr>
        <w:t>. München: Beck.</w:t>
      </w:r>
    </w:p>
    <w:p w14:paraId="5C18133B" w14:textId="77777777" w:rsidR="006102AD" w:rsidRPr="005B3785" w:rsidRDefault="006102AD" w:rsidP="00477B08">
      <w:pPr>
        <w:pStyle w:val="CitaviBibliographyEntry"/>
        <w:spacing w:after="0" w:line="480" w:lineRule="auto"/>
        <w:rPr>
          <w:rFonts w:ascii="Times New Roman" w:hAnsi="Times New Roman"/>
        </w:rPr>
      </w:pPr>
    </w:p>
    <w:p w14:paraId="22A69787" w14:textId="77777777" w:rsidR="006102AD" w:rsidRDefault="006102AD" w:rsidP="00477B08">
      <w:pPr>
        <w:pStyle w:val="CitaviBibliographyEntry"/>
        <w:spacing w:after="0" w:line="480" w:lineRule="auto"/>
        <w:rPr>
          <w:rFonts w:ascii="Times New Roman" w:hAnsi="Times New Roman"/>
        </w:rPr>
      </w:pPr>
      <w:r w:rsidRPr="005B3785">
        <w:rPr>
          <w:rFonts w:ascii="Times New Roman" w:hAnsi="Times New Roman"/>
        </w:rPr>
        <w:t xml:space="preserve">Rammstedt, B. (Hrsg.). (2013). </w:t>
      </w:r>
      <w:r w:rsidRPr="005B3785">
        <w:rPr>
          <w:rFonts w:ascii="Times New Roman" w:hAnsi="Times New Roman"/>
          <w:i/>
        </w:rPr>
        <w:t>Grundlegende Kompetenzen Erwachsener im internationalen Vergleich: Ergebnisse von PIAAC 2012</w:t>
      </w:r>
      <w:r>
        <w:rPr>
          <w:rFonts w:ascii="Times New Roman" w:hAnsi="Times New Roman"/>
        </w:rPr>
        <w:t>. Münster [u.</w:t>
      </w:r>
      <w:r w:rsidRPr="005B3785">
        <w:rPr>
          <w:rFonts w:ascii="Times New Roman" w:hAnsi="Times New Roman"/>
        </w:rPr>
        <w:t>a.]: Waxmann.</w:t>
      </w:r>
    </w:p>
    <w:p w14:paraId="6C0FC864" w14:textId="77777777" w:rsidR="00AD4555" w:rsidRDefault="00AD4555" w:rsidP="00477B08">
      <w:pPr>
        <w:pStyle w:val="CitaviBibliographyEntry"/>
        <w:spacing w:after="0" w:line="480" w:lineRule="auto"/>
        <w:rPr>
          <w:rFonts w:ascii="Times New Roman" w:hAnsi="Times New Roman"/>
          <w:lang w:val="en-US"/>
        </w:rPr>
      </w:pPr>
    </w:p>
    <w:p w14:paraId="3487A6EE" w14:textId="77777777" w:rsidR="006102AD" w:rsidRPr="003854B0" w:rsidRDefault="007A4ABE" w:rsidP="00477B08">
      <w:pPr>
        <w:pStyle w:val="CitaviBibliographyEntry"/>
        <w:spacing w:after="0" w:line="480" w:lineRule="auto"/>
        <w:rPr>
          <w:rFonts w:ascii="Times New Roman" w:hAnsi="Times New Roman"/>
        </w:rPr>
      </w:pPr>
      <w:r w:rsidRPr="007A4ABE">
        <w:rPr>
          <w:rFonts w:ascii="Times New Roman" w:hAnsi="Times New Roman"/>
          <w:lang w:val="en-US"/>
        </w:rPr>
        <w:t xml:space="preserve">Rancière, J. (2007/1992). </w:t>
      </w:r>
      <w:r w:rsidRPr="007A4ABE">
        <w:rPr>
          <w:rFonts w:ascii="Times New Roman" w:hAnsi="Times New Roman"/>
          <w:i/>
          <w:lang w:val="en-US"/>
        </w:rPr>
        <w:t xml:space="preserve">On the shores of politics </w:t>
      </w:r>
      <w:r w:rsidRPr="007A4ABE">
        <w:rPr>
          <w:rFonts w:ascii="Times New Roman" w:hAnsi="Times New Roman"/>
          <w:lang w:val="en-US"/>
        </w:rPr>
        <w:t>(</w:t>
      </w:r>
      <w:r w:rsidR="00834593">
        <w:rPr>
          <w:rFonts w:ascii="Times New Roman" w:hAnsi="Times New Roman"/>
          <w:lang w:val="en-US"/>
        </w:rPr>
        <w:t>L. Heron, Trans.</w:t>
      </w:r>
      <w:r w:rsidRPr="007A4ABE">
        <w:rPr>
          <w:rFonts w:ascii="Times New Roman" w:hAnsi="Times New Roman"/>
          <w:lang w:val="en-US"/>
        </w:rPr>
        <w:t xml:space="preserve">). </w:t>
      </w:r>
      <w:r w:rsidR="00834593" w:rsidRPr="003854B0">
        <w:rPr>
          <w:rFonts w:ascii="Times New Roman" w:hAnsi="Times New Roman"/>
        </w:rPr>
        <w:t xml:space="preserve">London: Verso. (Original work published 1992) </w:t>
      </w:r>
    </w:p>
    <w:p w14:paraId="531BC304" w14:textId="77777777" w:rsidR="00AD4555" w:rsidRDefault="00AD4555" w:rsidP="00477B08">
      <w:pPr>
        <w:pStyle w:val="CitaviBibliographyEntry"/>
        <w:spacing w:after="0" w:line="480" w:lineRule="auto"/>
        <w:rPr>
          <w:rFonts w:ascii="Times New Roman" w:hAnsi="Times New Roman"/>
        </w:rPr>
      </w:pPr>
    </w:p>
    <w:p w14:paraId="6B154006" w14:textId="77777777" w:rsidR="006102AD" w:rsidRDefault="006102AD" w:rsidP="00477B08">
      <w:pPr>
        <w:pStyle w:val="CitaviBibliographyEntry"/>
        <w:spacing w:after="0" w:line="480" w:lineRule="auto"/>
        <w:rPr>
          <w:rFonts w:ascii="Times New Roman" w:hAnsi="Times New Roman"/>
        </w:rPr>
      </w:pPr>
      <w:r w:rsidRPr="005B3785">
        <w:rPr>
          <w:rFonts w:ascii="Times New Roman" w:hAnsi="Times New Roman"/>
        </w:rPr>
        <w:t xml:space="preserve">Rancière, J. (2002). </w:t>
      </w:r>
      <w:r w:rsidRPr="005B3785">
        <w:rPr>
          <w:rFonts w:ascii="Times New Roman" w:hAnsi="Times New Roman"/>
          <w:i/>
        </w:rPr>
        <w:t xml:space="preserve">Das Unvernehmen: Politik und Philosophie </w:t>
      </w:r>
      <w:r w:rsidRPr="005B3785">
        <w:rPr>
          <w:rFonts w:ascii="Times New Roman" w:hAnsi="Times New Roman"/>
        </w:rPr>
        <w:t>(1. Aufl., Originalausgabe). Frankfurt a.</w:t>
      </w:r>
      <w:r>
        <w:rPr>
          <w:rFonts w:ascii="Times New Roman" w:hAnsi="Times New Roman"/>
        </w:rPr>
        <w:t xml:space="preserve"> </w:t>
      </w:r>
      <w:r w:rsidRPr="005B3785">
        <w:rPr>
          <w:rFonts w:ascii="Times New Roman" w:hAnsi="Times New Roman"/>
        </w:rPr>
        <w:t>M.: Suhrkamp.</w:t>
      </w:r>
    </w:p>
    <w:p w14:paraId="294622A3" w14:textId="77777777" w:rsidR="006102AD" w:rsidRPr="005B3785" w:rsidRDefault="006102AD" w:rsidP="00477B08">
      <w:pPr>
        <w:pStyle w:val="CitaviBibliographyEntry"/>
        <w:spacing w:after="0" w:line="480" w:lineRule="auto"/>
        <w:rPr>
          <w:rFonts w:ascii="Times New Roman" w:hAnsi="Times New Roman"/>
        </w:rPr>
      </w:pPr>
    </w:p>
    <w:p w14:paraId="02AB95D2" w14:textId="77777777" w:rsidR="006102AD" w:rsidRDefault="006102AD" w:rsidP="00477B08">
      <w:pPr>
        <w:pStyle w:val="CitaviBibliographyEntry"/>
        <w:spacing w:after="0" w:line="480" w:lineRule="auto"/>
        <w:rPr>
          <w:rFonts w:ascii="Times New Roman" w:hAnsi="Times New Roman"/>
        </w:rPr>
      </w:pPr>
      <w:r w:rsidRPr="005B3785">
        <w:rPr>
          <w:rFonts w:ascii="Times New Roman" w:hAnsi="Times New Roman"/>
        </w:rPr>
        <w:t xml:space="preserve">Ribolits, E. (2009). </w:t>
      </w:r>
      <w:r w:rsidRPr="003854B0">
        <w:rPr>
          <w:rFonts w:ascii="Times New Roman" w:hAnsi="Times New Roman"/>
          <w:i/>
        </w:rPr>
        <w:t>Bildung ohne Wert: Wider die Humankapitalisierung des Menschen.</w:t>
      </w:r>
      <w:r w:rsidRPr="005B3785">
        <w:rPr>
          <w:rFonts w:ascii="Times New Roman" w:hAnsi="Times New Roman"/>
        </w:rPr>
        <w:t xml:space="preserve"> Wien: Löcker.</w:t>
      </w:r>
    </w:p>
    <w:p w14:paraId="0B9F3B29" w14:textId="77777777" w:rsidR="006102AD" w:rsidRPr="005B3785" w:rsidRDefault="006102AD" w:rsidP="00477B08">
      <w:pPr>
        <w:pStyle w:val="CitaviBibliographyEntry"/>
        <w:spacing w:after="0" w:line="480" w:lineRule="auto"/>
        <w:rPr>
          <w:rFonts w:ascii="Times New Roman" w:hAnsi="Times New Roman"/>
        </w:rPr>
      </w:pPr>
    </w:p>
    <w:p w14:paraId="76AD4B44" w14:textId="77777777" w:rsidR="006102AD" w:rsidRDefault="006102AD" w:rsidP="00477B08">
      <w:pPr>
        <w:pStyle w:val="CitaviBibliographyEntry"/>
        <w:spacing w:after="0" w:line="480" w:lineRule="auto"/>
        <w:rPr>
          <w:rFonts w:ascii="Times New Roman" w:hAnsi="Times New Roman"/>
        </w:rPr>
      </w:pPr>
      <w:r w:rsidRPr="005B3785">
        <w:rPr>
          <w:rFonts w:ascii="Times New Roman" w:hAnsi="Times New Roman"/>
        </w:rPr>
        <w:t xml:space="preserve">Riekmann, W. (2010). </w:t>
      </w:r>
      <w:r w:rsidRPr="003854B0">
        <w:rPr>
          <w:rFonts w:ascii="Times New Roman" w:hAnsi="Times New Roman"/>
          <w:i/>
        </w:rPr>
        <w:t>Demokratie und Verein. Potenziale demokratischer Bildung in der Jugendarbeit</w:t>
      </w:r>
      <w:r w:rsidRPr="005B3785">
        <w:rPr>
          <w:rFonts w:ascii="Times New Roman" w:hAnsi="Times New Roman"/>
        </w:rPr>
        <w:t xml:space="preserve"> (Dissertation), Hamburg.</w:t>
      </w:r>
    </w:p>
    <w:p w14:paraId="712D6973" w14:textId="77777777" w:rsidR="006102AD" w:rsidRPr="005B3785" w:rsidRDefault="006102AD" w:rsidP="00477B08">
      <w:pPr>
        <w:pStyle w:val="CitaviBibliographyEntry"/>
        <w:spacing w:after="0" w:line="480" w:lineRule="auto"/>
        <w:rPr>
          <w:rFonts w:ascii="Times New Roman" w:hAnsi="Times New Roman"/>
        </w:rPr>
      </w:pPr>
    </w:p>
    <w:p w14:paraId="76335823" w14:textId="77777777" w:rsidR="006102AD" w:rsidRDefault="006102AD" w:rsidP="00477B08">
      <w:pPr>
        <w:pStyle w:val="CitaviBibliographyEntry"/>
        <w:spacing w:after="0" w:line="480" w:lineRule="auto"/>
        <w:rPr>
          <w:rFonts w:ascii="Times New Roman" w:hAnsi="Times New Roman"/>
          <w:lang w:val="en-US"/>
        </w:rPr>
      </w:pPr>
      <w:r w:rsidRPr="005B3785">
        <w:rPr>
          <w:rFonts w:ascii="Times New Roman" w:hAnsi="Times New Roman"/>
          <w:lang w:val="en-US"/>
        </w:rPr>
        <w:t xml:space="preserve">Rosanvallon, P. (2013). </w:t>
      </w:r>
      <w:r w:rsidRPr="003854B0">
        <w:rPr>
          <w:rFonts w:ascii="Times New Roman" w:hAnsi="Times New Roman"/>
          <w:i/>
          <w:lang w:val="en-US"/>
        </w:rPr>
        <w:t>The Society of Equals.</w:t>
      </w:r>
      <w:r w:rsidRPr="005B3785">
        <w:rPr>
          <w:rFonts w:ascii="Times New Roman" w:hAnsi="Times New Roman"/>
          <w:lang w:val="en-US"/>
        </w:rPr>
        <w:t xml:space="preserve"> Harvard University Press</w:t>
      </w:r>
      <w:r>
        <w:rPr>
          <w:rFonts w:ascii="Times New Roman" w:hAnsi="Times New Roman"/>
          <w:lang w:val="en-US"/>
        </w:rPr>
        <w:t>.</w:t>
      </w:r>
    </w:p>
    <w:p w14:paraId="2AC91E31" w14:textId="77777777" w:rsidR="006102AD" w:rsidRPr="005B3785" w:rsidRDefault="006102AD" w:rsidP="00477B08">
      <w:pPr>
        <w:pStyle w:val="CitaviBibliographyEntry"/>
        <w:spacing w:after="0" w:line="480" w:lineRule="auto"/>
        <w:rPr>
          <w:rFonts w:ascii="Times New Roman" w:hAnsi="Times New Roman"/>
          <w:lang w:val="en-US"/>
        </w:rPr>
      </w:pPr>
    </w:p>
    <w:p w14:paraId="009811CD" w14:textId="77777777" w:rsidR="006102AD" w:rsidRDefault="006102AD" w:rsidP="00477B08">
      <w:pPr>
        <w:pStyle w:val="CitaviBibliographyEntry"/>
        <w:spacing w:after="0" w:line="480" w:lineRule="auto"/>
        <w:rPr>
          <w:rFonts w:ascii="Times New Roman" w:hAnsi="Times New Roman"/>
        </w:rPr>
      </w:pPr>
      <w:r w:rsidRPr="005B3785">
        <w:rPr>
          <w:rFonts w:ascii="Times New Roman" w:hAnsi="Times New Roman"/>
          <w:lang w:val="en-US"/>
        </w:rPr>
        <w:t xml:space="preserve">Rosanvallon, P. (2013). </w:t>
      </w:r>
      <w:r w:rsidRPr="003854B0">
        <w:rPr>
          <w:rFonts w:ascii="Times New Roman" w:hAnsi="Times New Roman"/>
          <w:i/>
        </w:rPr>
        <w:t>Die Gesellschaft der Gleichen</w:t>
      </w:r>
      <w:r w:rsidRPr="005B3785">
        <w:rPr>
          <w:rFonts w:ascii="Times New Roman" w:hAnsi="Times New Roman"/>
        </w:rPr>
        <w:t xml:space="preserve"> (1. Aufl.). Hamburg: Hamburger Edition.</w:t>
      </w:r>
    </w:p>
    <w:p w14:paraId="64EF8A56" w14:textId="77777777" w:rsidR="006102AD" w:rsidRPr="005B3785" w:rsidRDefault="006102AD" w:rsidP="00477B08">
      <w:pPr>
        <w:pStyle w:val="CitaviBibliographyEntry"/>
        <w:spacing w:after="0" w:line="480" w:lineRule="auto"/>
        <w:rPr>
          <w:rFonts w:ascii="Times New Roman" w:hAnsi="Times New Roman"/>
        </w:rPr>
      </w:pPr>
    </w:p>
    <w:p w14:paraId="549AED2B" w14:textId="77777777" w:rsidR="006102AD" w:rsidRDefault="006102AD" w:rsidP="00477B08">
      <w:pPr>
        <w:pStyle w:val="CitaviBibliographyEntry"/>
        <w:spacing w:after="0" w:line="480" w:lineRule="auto"/>
        <w:rPr>
          <w:rFonts w:ascii="Times New Roman" w:hAnsi="Times New Roman"/>
        </w:rPr>
      </w:pPr>
      <w:r w:rsidRPr="005B3785">
        <w:rPr>
          <w:rFonts w:ascii="Times New Roman" w:hAnsi="Times New Roman"/>
        </w:rPr>
        <w:t xml:space="preserve">Schiersmann, C. (2006). </w:t>
      </w:r>
      <w:r w:rsidRPr="005B3785">
        <w:rPr>
          <w:rFonts w:ascii="Times New Roman" w:hAnsi="Times New Roman"/>
          <w:i/>
        </w:rPr>
        <w:t>Profile lebenslangen Lernens: Weiterbildungserfahrungen und Lernbereitschaft der Erwerbsbevölkerung</w:t>
      </w:r>
      <w:r w:rsidRPr="005B3785">
        <w:rPr>
          <w:rFonts w:ascii="Times New Roman" w:hAnsi="Times New Roman"/>
        </w:rPr>
        <w:t xml:space="preserve">. </w:t>
      </w:r>
      <w:r w:rsidRPr="003854B0">
        <w:rPr>
          <w:rFonts w:ascii="Times New Roman" w:hAnsi="Times New Roman"/>
        </w:rPr>
        <w:t>DIE spezial.</w:t>
      </w:r>
      <w:r w:rsidRPr="005B3785">
        <w:rPr>
          <w:rFonts w:ascii="Times New Roman" w:hAnsi="Times New Roman"/>
        </w:rPr>
        <w:t xml:space="preserve"> Bielefeld: W. Bertelsmann. Abgerufen von http://www.gbv.de/du/services/agi/0E6AC4186D44A203C125713F002F80F9/0124850 </w:t>
      </w:r>
    </w:p>
    <w:p w14:paraId="56896D73" w14:textId="77777777" w:rsidR="006102AD" w:rsidRPr="005B3785" w:rsidRDefault="006102AD" w:rsidP="00477B08">
      <w:pPr>
        <w:pStyle w:val="CitaviBibliographyEntry"/>
        <w:spacing w:after="0" w:line="480" w:lineRule="auto"/>
        <w:rPr>
          <w:rFonts w:ascii="Times New Roman" w:hAnsi="Times New Roman"/>
        </w:rPr>
      </w:pPr>
    </w:p>
    <w:p w14:paraId="7138C504" w14:textId="77777777" w:rsidR="006102AD" w:rsidRDefault="006102AD" w:rsidP="00477B08">
      <w:pPr>
        <w:pStyle w:val="CitaviBibliographyEntry"/>
        <w:spacing w:after="0" w:line="480" w:lineRule="auto"/>
        <w:rPr>
          <w:rFonts w:ascii="Times New Roman" w:hAnsi="Times New Roman"/>
        </w:rPr>
      </w:pPr>
      <w:r w:rsidRPr="005B3785">
        <w:rPr>
          <w:rFonts w:ascii="Times New Roman" w:hAnsi="Times New Roman"/>
        </w:rPr>
        <w:t xml:space="preserve">Schmiade, N., Vogel, C., Lux, K., &amp; Simonson, J. (2014). </w:t>
      </w:r>
      <w:r w:rsidRPr="003854B0">
        <w:rPr>
          <w:rFonts w:ascii="Times New Roman" w:hAnsi="Times New Roman"/>
          <w:i/>
          <w:lang w:val="en-GB"/>
        </w:rPr>
        <w:t>Trends in Civil Society: The German Survey on Volunteering 1999, 2004, 2009 and 2014</w:t>
      </w:r>
      <w:r w:rsidRPr="005B3785">
        <w:rPr>
          <w:rFonts w:ascii="Times New Roman" w:hAnsi="Times New Roman"/>
          <w:lang w:val="en-GB"/>
        </w:rPr>
        <w:t xml:space="preserve"> (Deutscher Freiwilligensurvey – FWS</w:t>
      </w:r>
      <w:r w:rsidRPr="003854B0">
        <w:rPr>
          <w:rFonts w:ascii="Times New Roman" w:hAnsi="Times New Roman"/>
          <w:lang w:val="en-GB"/>
        </w:rPr>
        <w:t xml:space="preserve">). </w:t>
      </w:r>
      <w:r w:rsidRPr="003854B0">
        <w:rPr>
          <w:rFonts w:ascii="Times New Roman" w:hAnsi="Times New Roman"/>
        </w:rPr>
        <w:t>Schmollers Jahrbuch</w:t>
      </w:r>
      <w:r>
        <w:rPr>
          <w:rFonts w:ascii="Times New Roman" w:hAnsi="Times New Roman"/>
        </w:rPr>
        <w:t>, (134)(pp</w:t>
      </w:r>
      <w:r w:rsidRPr="005B3785">
        <w:rPr>
          <w:rFonts w:ascii="Times New Roman" w:hAnsi="Times New Roman"/>
        </w:rPr>
        <w:t>. 249</w:t>
      </w:r>
      <w:r>
        <w:rPr>
          <w:rFonts w:ascii="Times New Roman" w:hAnsi="Times New Roman"/>
        </w:rPr>
        <w:t>-</w:t>
      </w:r>
      <w:r w:rsidRPr="005B3785">
        <w:rPr>
          <w:rFonts w:ascii="Times New Roman" w:hAnsi="Times New Roman"/>
        </w:rPr>
        <w:t>259). Berlin: Duncker &amp; Humboldt.</w:t>
      </w:r>
    </w:p>
    <w:p w14:paraId="29EB2E67" w14:textId="77777777" w:rsidR="006102AD" w:rsidRPr="005B3785" w:rsidRDefault="006102AD" w:rsidP="00477B08">
      <w:pPr>
        <w:pStyle w:val="CitaviBibliographyEntry"/>
        <w:spacing w:after="0" w:line="480" w:lineRule="auto"/>
        <w:rPr>
          <w:rFonts w:ascii="Times New Roman" w:hAnsi="Times New Roman"/>
        </w:rPr>
      </w:pPr>
    </w:p>
    <w:p w14:paraId="3E5FFA50" w14:textId="77777777" w:rsidR="006102AD" w:rsidRDefault="006102AD" w:rsidP="00477B08">
      <w:pPr>
        <w:pStyle w:val="CitaviBibliographyEntry"/>
        <w:spacing w:after="0" w:line="480" w:lineRule="auto"/>
        <w:rPr>
          <w:rFonts w:ascii="Times New Roman" w:hAnsi="Times New Roman"/>
        </w:rPr>
      </w:pPr>
      <w:r w:rsidRPr="005B3785">
        <w:rPr>
          <w:rFonts w:ascii="Times New Roman" w:hAnsi="Times New Roman"/>
        </w:rPr>
        <w:t xml:space="preserve">Schneekloth, U. (2015). </w:t>
      </w:r>
      <w:r w:rsidRPr="003854B0">
        <w:rPr>
          <w:rFonts w:ascii="Times New Roman" w:hAnsi="Times New Roman"/>
          <w:i/>
        </w:rPr>
        <w:t>Jugend und Politik: Zwischen positivem Gesellschaftsbild und anhaltender Politikverdrossenheit.</w:t>
      </w:r>
      <w:r w:rsidRPr="005B3785">
        <w:rPr>
          <w:rFonts w:ascii="Times New Roman" w:hAnsi="Times New Roman"/>
        </w:rPr>
        <w:t xml:space="preserve"> In M. Albert, K. Hurrelmann, &amp; G. Quenzel (</w:t>
      </w:r>
      <w:r>
        <w:rPr>
          <w:rFonts w:ascii="Times New Roman" w:hAnsi="Times New Roman"/>
        </w:rPr>
        <w:t>Eds</w:t>
      </w:r>
      <w:r w:rsidRPr="005B3785">
        <w:rPr>
          <w:rFonts w:ascii="Times New Roman" w:hAnsi="Times New Roman"/>
        </w:rPr>
        <w:t xml:space="preserve">.), </w:t>
      </w:r>
      <w:r w:rsidRPr="003854B0">
        <w:rPr>
          <w:rFonts w:ascii="Times New Roman" w:hAnsi="Times New Roman"/>
        </w:rPr>
        <w:t>Jugend 2015. Eine pragmatische Generation im Aufbruch : 17. Shell-Jugendstudie</w:t>
      </w:r>
      <w:r w:rsidRPr="005B3785">
        <w:rPr>
          <w:rFonts w:ascii="Times New Roman" w:hAnsi="Times New Roman"/>
          <w:i/>
        </w:rPr>
        <w:t xml:space="preserve"> </w:t>
      </w:r>
      <w:r w:rsidRPr="005B3785">
        <w:rPr>
          <w:rFonts w:ascii="Times New Roman" w:hAnsi="Times New Roman"/>
        </w:rPr>
        <w:t>(</w:t>
      </w:r>
      <w:r>
        <w:rPr>
          <w:rFonts w:ascii="Times New Roman" w:hAnsi="Times New Roman"/>
        </w:rPr>
        <w:t>pp</w:t>
      </w:r>
      <w:r w:rsidRPr="005B3785">
        <w:rPr>
          <w:rFonts w:ascii="Times New Roman" w:hAnsi="Times New Roman"/>
        </w:rPr>
        <w:t>. 153</w:t>
      </w:r>
      <w:r>
        <w:rPr>
          <w:rFonts w:ascii="Times New Roman" w:hAnsi="Times New Roman"/>
        </w:rPr>
        <w:t>-</w:t>
      </w:r>
      <w:r w:rsidRPr="005B3785">
        <w:rPr>
          <w:rFonts w:ascii="Times New Roman" w:hAnsi="Times New Roman"/>
        </w:rPr>
        <w:t>200). Frankfurt a</w:t>
      </w:r>
      <w:r>
        <w:rPr>
          <w:rFonts w:ascii="Times New Roman" w:hAnsi="Times New Roman"/>
        </w:rPr>
        <w:t>. M.</w:t>
      </w:r>
      <w:r w:rsidRPr="005B3785">
        <w:rPr>
          <w:rFonts w:ascii="Times New Roman" w:hAnsi="Times New Roman"/>
        </w:rPr>
        <w:t>: S. Fischer.</w:t>
      </w:r>
    </w:p>
    <w:p w14:paraId="0312A130" w14:textId="77777777" w:rsidR="006102AD" w:rsidRPr="005B3785" w:rsidRDefault="006102AD" w:rsidP="00477B08">
      <w:pPr>
        <w:pStyle w:val="CitaviBibliographyEntry"/>
        <w:spacing w:after="0" w:line="480" w:lineRule="auto"/>
        <w:rPr>
          <w:rFonts w:ascii="Times New Roman" w:hAnsi="Times New Roman"/>
        </w:rPr>
      </w:pPr>
    </w:p>
    <w:p w14:paraId="7CBE64E8" w14:textId="77777777" w:rsidR="006102AD" w:rsidRDefault="006102AD" w:rsidP="00477B08">
      <w:pPr>
        <w:pStyle w:val="CitaviBibliographyEntry"/>
        <w:spacing w:after="0" w:line="480" w:lineRule="auto"/>
        <w:rPr>
          <w:rFonts w:ascii="Times New Roman" w:hAnsi="Times New Roman"/>
        </w:rPr>
      </w:pPr>
      <w:r w:rsidRPr="005B3785">
        <w:rPr>
          <w:rFonts w:ascii="Times New Roman" w:hAnsi="Times New Roman"/>
        </w:rPr>
        <w:t>Schreiber-Barsch, S</w:t>
      </w:r>
      <w:r>
        <w:rPr>
          <w:rFonts w:ascii="Times New Roman" w:hAnsi="Times New Roman"/>
        </w:rPr>
        <w:t>.</w:t>
      </w:r>
      <w:r w:rsidRPr="005B3785">
        <w:rPr>
          <w:rFonts w:ascii="Times New Roman" w:hAnsi="Times New Roman"/>
        </w:rPr>
        <w:t xml:space="preserve"> (2009)</w:t>
      </w:r>
      <w:r>
        <w:rPr>
          <w:rFonts w:ascii="Times New Roman" w:hAnsi="Times New Roman"/>
        </w:rPr>
        <w:t>.</w:t>
      </w:r>
      <w:r w:rsidRPr="005B3785">
        <w:rPr>
          <w:rFonts w:ascii="Times New Roman" w:hAnsi="Times New Roman"/>
        </w:rPr>
        <w:t xml:space="preserve"> </w:t>
      </w:r>
      <w:r w:rsidRPr="003854B0">
        <w:rPr>
          <w:rFonts w:ascii="Times New Roman" w:hAnsi="Times New Roman"/>
          <w:i/>
        </w:rPr>
        <w:t>Ein Idyll von Inklusion und Exklusion?: Die Aufgabe von Erwachsenenbildung und Jacques Rancières Logik des Unvernehmens.</w:t>
      </w:r>
      <w:r w:rsidRPr="005B3785">
        <w:rPr>
          <w:rFonts w:ascii="Times New Roman" w:hAnsi="Times New Roman"/>
        </w:rPr>
        <w:t xml:space="preserve"> In: REPORT Literatur- und Forschungsreport Weiterbildung, 59</w:t>
      </w:r>
      <w:r>
        <w:rPr>
          <w:rFonts w:ascii="Times New Roman" w:hAnsi="Times New Roman"/>
        </w:rPr>
        <w:t>-</w:t>
      </w:r>
      <w:r w:rsidRPr="005B3785">
        <w:rPr>
          <w:rFonts w:ascii="Times New Roman" w:hAnsi="Times New Roman"/>
        </w:rPr>
        <w:t>69.</w:t>
      </w:r>
    </w:p>
    <w:p w14:paraId="2F321A83" w14:textId="77777777" w:rsidR="006102AD" w:rsidRPr="005B3785" w:rsidRDefault="006102AD" w:rsidP="00477B08">
      <w:pPr>
        <w:pStyle w:val="CitaviBibliographyEntry"/>
        <w:spacing w:after="0" w:line="480" w:lineRule="auto"/>
        <w:rPr>
          <w:rFonts w:ascii="Times New Roman" w:hAnsi="Times New Roman"/>
        </w:rPr>
      </w:pPr>
    </w:p>
    <w:p w14:paraId="302FD24E" w14:textId="77777777" w:rsidR="006102AD" w:rsidRDefault="006102AD" w:rsidP="00477B08">
      <w:pPr>
        <w:pStyle w:val="CitaviBibliographyEntry"/>
        <w:spacing w:after="0" w:line="480" w:lineRule="auto"/>
        <w:rPr>
          <w:rFonts w:ascii="Times New Roman" w:hAnsi="Times New Roman"/>
        </w:rPr>
      </w:pPr>
      <w:r>
        <w:rPr>
          <w:rFonts w:ascii="Times New Roman" w:hAnsi="Times New Roman"/>
        </w:rPr>
        <w:t>Sternfeld, N. (2009).</w:t>
      </w:r>
      <w:r w:rsidRPr="005B3785">
        <w:rPr>
          <w:rFonts w:ascii="Times New Roman" w:hAnsi="Times New Roman"/>
        </w:rPr>
        <w:t xml:space="preserve"> </w:t>
      </w:r>
      <w:r w:rsidRPr="003854B0">
        <w:rPr>
          <w:rFonts w:ascii="Times New Roman" w:hAnsi="Times New Roman"/>
          <w:i/>
        </w:rPr>
        <w:t>Das pädagogische Unverhältnis. Lehren und Lernen bei Rancière, Gramsci und Foucault.</w:t>
      </w:r>
      <w:r w:rsidRPr="005B3785">
        <w:rPr>
          <w:rFonts w:ascii="Times New Roman" w:hAnsi="Times New Roman"/>
        </w:rPr>
        <w:t xml:space="preserve"> Wien: Turia + Kant. Abgerufen von http://deposit.d-nb.de/cgi-bin/dokserv?id=31259</w:t>
      </w:r>
      <w:r>
        <w:rPr>
          <w:rFonts w:ascii="Times New Roman" w:hAnsi="Times New Roman"/>
        </w:rPr>
        <w:t>63&amp;prov=M&amp;dok_var=1&amp;dok_ext=htm</w:t>
      </w:r>
    </w:p>
    <w:p w14:paraId="35A3D573" w14:textId="77777777" w:rsidR="006102AD" w:rsidRDefault="006102AD" w:rsidP="00477B08">
      <w:pPr>
        <w:pStyle w:val="CitaviBibliographyEntry"/>
        <w:spacing w:after="0" w:line="480" w:lineRule="auto"/>
        <w:rPr>
          <w:rFonts w:ascii="Times New Roman" w:hAnsi="Times New Roman"/>
        </w:rPr>
      </w:pPr>
    </w:p>
    <w:p w14:paraId="694071D2" w14:textId="77777777" w:rsidR="005B21E1" w:rsidRPr="005B21E1" w:rsidRDefault="005B21E1" w:rsidP="00477B08">
      <w:pPr>
        <w:pStyle w:val="CitaviBibliographyEntry"/>
        <w:spacing w:after="0" w:line="480" w:lineRule="auto"/>
        <w:rPr>
          <w:rFonts w:ascii="Times New Roman" w:hAnsi="Times New Roman"/>
          <w:lang w:val="en-US"/>
        </w:rPr>
      </w:pPr>
      <w:r>
        <w:rPr>
          <w:rFonts w:ascii="Times New Roman" w:hAnsi="Times New Roman"/>
        </w:rPr>
        <w:t xml:space="preserve">Vandenabeele, J., Reyskens, P., Wildemeersch, D. (2011). </w:t>
      </w:r>
      <w:r w:rsidRPr="003854B0">
        <w:rPr>
          <w:rFonts w:ascii="Times New Roman" w:hAnsi="Times New Roman"/>
          <w:i/>
          <w:lang w:val="en-US"/>
        </w:rPr>
        <w:t>Diverse views on citizenship, community and participation: Exploring the role of adult education research and practice.</w:t>
      </w:r>
      <w:r w:rsidRPr="005B21E1">
        <w:rPr>
          <w:rFonts w:ascii="Times New Roman" w:hAnsi="Times New Roman"/>
          <w:lang w:val="en-US"/>
        </w:rPr>
        <w:t xml:space="preserve"> </w:t>
      </w:r>
      <w:r>
        <w:rPr>
          <w:rFonts w:ascii="Times New Roman" w:hAnsi="Times New Roman"/>
          <w:lang w:val="en-US"/>
        </w:rPr>
        <w:t>European Journal for Research on the Education and Learning of Adults, Vol. 2, No.2, 2011, pp. 193-208.</w:t>
      </w:r>
      <w:r w:rsidR="000D5878">
        <w:rPr>
          <w:rFonts w:ascii="Times New Roman" w:hAnsi="Times New Roman"/>
          <w:lang w:val="en-US"/>
        </w:rPr>
        <w:t xml:space="preserve"> </w:t>
      </w:r>
      <w:r w:rsidR="000D5878" w:rsidRPr="005B3785">
        <w:rPr>
          <w:rFonts w:ascii="Times New Roman" w:hAnsi="Times New Roman"/>
          <w:lang w:val="en-GB"/>
        </w:rPr>
        <w:t>doi</w:t>
      </w:r>
      <w:r w:rsidR="000D5878">
        <w:rPr>
          <w:rFonts w:ascii="Times New Roman" w:hAnsi="Times New Roman"/>
          <w:lang w:val="en-GB"/>
        </w:rPr>
        <w:t>:10.3384/rela.2000-7426.rela0017</w:t>
      </w:r>
    </w:p>
    <w:p w14:paraId="685B6558" w14:textId="77777777" w:rsidR="005B21E1" w:rsidRPr="005B21E1" w:rsidRDefault="005B21E1" w:rsidP="00477B08">
      <w:pPr>
        <w:pStyle w:val="CitaviBibliographyEntry"/>
        <w:spacing w:after="0" w:line="480" w:lineRule="auto"/>
        <w:rPr>
          <w:rFonts w:ascii="Times New Roman" w:hAnsi="Times New Roman"/>
          <w:lang w:val="en-US"/>
        </w:rPr>
      </w:pPr>
    </w:p>
    <w:p w14:paraId="154BDBEE" w14:textId="77777777" w:rsidR="006102AD" w:rsidRDefault="006102AD" w:rsidP="00477B08">
      <w:pPr>
        <w:pStyle w:val="CitaviBibliographyEntry"/>
        <w:spacing w:after="0" w:line="480" w:lineRule="auto"/>
        <w:rPr>
          <w:rFonts w:ascii="Times New Roman" w:hAnsi="Times New Roman"/>
        </w:rPr>
      </w:pPr>
      <w:r w:rsidRPr="003854B0">
        <w:rPr>
          <w:rFonts w:ascii="Times New Roman" w:hAnsi="Times New Roman"/>
          <w:lang w:val="en-US"/>
        </w:rPr>
        <w:t xml:space="preserve">Vetter, A. (1997). </w:t>
      </w:r>
      <w:r w:rsidRPr="003854B0">
        <w:rPr>
          <w:rFonts w:ascii="Times New Roman" w:hAnsi="Times New Roman"/>
          <w:i/>
          <w:lang w:val="en-US"/>
        </w:rPr>
        <w:t>Political efficacy – Reliabilität und Validität.</w:t>
      </w:r>
      <w:r w:rsidRPr="003854B0">
        <w:rPr>
          <w:rFonts w:ascii="Times New Roman" w:hAnsi="Times New Roman"/>
          <w:lang w:val="en-US"/>
        </w:rPr>
        <w:t xml:space="preserve"> </w:t>
      </w:r>
      <w:r w:rsidRPr="005B3785">
        <w:rPr>
          <w:rFonts w:ascii="Times New Roman" w:hAnsi="Times New Roman"/>
        </w:rPr>
        <w:t>Alte und neue Messmodelle im Vergleich. Wiesbaden: Deutscher Universitätsverlag.</w:t>
      </w:r>
      <w:bookmarkStart w:id="16" w:name="_CTVBIBLIOGRAPHY1"/>
      <w:bookmarkEnd w:id="16"/>
    </w:p>
    <w:p w14:paraId="1A40EFB6" w14:textId="77777777" w:rsidR="006102AD" w:rsidRPr="005B3785" w:rsidRDefault="006102AD" w:rsidP="00477B08">
      <w:pPr>
        <w:pStyle w:val="CitaviBibliographyEntry"/>
        <w:spacing w:after="0" w:line="480" w:lineRule="auto"/>
        <w:rPr>
          <w:rFonts w:ascii="Times New Roman" w:hAnsi="Times New Roman"/>
        </w:rPr>
      </w:pPr>
    </w:p>
    <w:p w14:paraId="4838E013" w14:textId="77777777" w:rsidR="006102AD" w:rsidRPr="003854B0" w:rsidRDefault="006102AD" w:rsidP="003854B0">
      <w:pPr>
        <w:autoSpaceDE w:val="0"/>
        <w:autoSpaceDN w:val="0"/>
        <w:adjustRightInd w:val="0"/>
        <w:spacing w:after="60" w:line="480" w:lineRule="auto"/>
        <w:rPr>
          <w:rFonts w:ascii="Times New Roman" w:hAnsi="Times New Roman"/>
          <w:lang w:val="en-GB"/>
        </w:rPr>
      </w:pPr>
      <w:r w:rsidRPr="005B3785">
        <w:rPr>
          <w:rFonts w:ascii="Times New Roman" w:hAnsi="Times New Roman"/>
        </w:rPr>
        <w:t xml:space="preserve">Zeuner, C. (2013). </w:t>
      </w:r>
      <w:r w:rsidRPr="003854B0">
        <w:rPr>
          <w:rFonts w:ascii="Times New Roman" w:hAnsi="Times New Roman"/>
          <w:i/>
          <w:lang w:val="en-US"/>
        </w:rPr>
        <w:t xml:space="preserve">From workers education to </w:t>
      </w:r>
      <w:r w:rsidRPr="003854B0">
        <w:rPr>
          <w:rFonts w:ascii="Times New Roman" w:hAnsi="Times New Roman"/>
          <w:i/>
          <w:lang w:val="en-GB"/>
        </w:rPr>
        <w:t>societal competencies: Approaches to a critical, emancipatory education for democracy.</w:t>
      </w:r>
      <w:r w:rsidRPr="005B3785">
        <w:rPr>
          <w:rFonts w:ascii="Times New Roman" w:hAnsi="Times New Roman"/>
          <w:lang w:val="en-GB"/>
        </w:rPr>
        <w:t xml:space="preserve"> </w:t>
      </w:r>
      <w:r w:rsidRPr="003854B0">
        <w:rPr>
          <w:rFonts w:ascii="Times New Roman" w:hAnsi="Times New Roman"/>
          <w:lang w:val="en-GB"/>
        </w:rPr>
        <w:t>European Journal for Research on the Education and Learning of Adults, 4</w:t>
      </w:r>
      <w:r w:rsidRPr="005B3785">
        <w:rPr>
          <w:rFonts w:ascii="Times New Roman" w:hAnsi="Times New Roman"/>
          <w:lang w:val="en-GB"/>
        </w:rPr>
        <w:t>(2), 139</w:t>
      </w:r>
      <w:r>
        <w:rPr>
          <w:rFonts w:ascii="Times New Roman" w:hAnsi="Times New Roman"/>
          <w:lang w:val="en-GB"/>
        </w:rPr>
        <w:t>-</w:t>
      </w:r>
      <w:r w:rsidRPr="005B3785">
        <w:rPr>
          <w:rFonts w:ascii="Times New Roman" w:hAnsi="Times New Roman"/>
          <w:lang w:val="en-GB"/>
        </w:rPr>
        <w:t xml:space="preserve">152. doi:10.3384/rela.2000-7426.rela9011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A1C7A" w14:textId="2698BDC7" w:rsidR="006102AD" w:rsidRDefault="006102AD">
    <w:pPr>
      <w:pStyle w:val="Sidfot"/>
      <w:jc w:val="right"/>
    </w:pPr>
    <w:r>
      <w:fldChar w:fldCharType="begin"/>
    </w:r>
    <w:r>
      <w:instrText>PAGE   \* MERGEFORMAT</w:instrText>
    </w:r>
    <w:r>
      <w:fldChar w:fldCharType="separate"/>
    </w:r>
    <w:r w:rsidR="009D3F27">
      <w:rPr>
        <w:noProof/>
      </w:rPr>
      <w:t>1</w:t>
    </w:r>
    <w:r>
      <w:fldChar w:fldCharType="end"/>
    </w:r>
  </w:p>
  <w:p w14:paraId="24A35953" w14:textId="77777777" w:rsidR="006102AD" w:rsidRDefault="006102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108D3" w14:textId="77777777" w:rsidR="006E2C52" w:rsidRDefault="006E2C52" w:rsidP="00184F58">
      <w:r>
        <w:separator/>
      </w:r>
    </w:p>
  </w:footnote>
  <w:footnote w:type="continuationSeparator" w:id="0">
    <w:p w14:paraId="717C619D" w14:textId="77777777" w:rsidR="006E2C52" w:rsidRDefault="006E2C52" w:rsidP="00184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7CCC22"/>
    <w:lvl w:ilvl="0">
      <w:start w:val="1"/>
      <w:numFmt w:val="decimal"/>
      <w:pStyle w:val="Numreradlist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654C352"/>
    <w:lvl w:ilvl="0">
      <w:start w:val="1"/>
      <w:numFmt w:val="decimal"/>
      <w:pStyle w:val="Numreradlist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7261E5E"/>
    <w:lvl w:ilvl="0">
      <w:start w:val="1"/>
      <w:numFmt w:val="decimal"/>
      <w:pStyle w:val="Numreradlista3"/>
      <w:lvlText w:val="%1."/>
      <w:lvlJc w:val="left"/>
      <w:pPr>
        <w:tabs>
          <w:tab w:val="num" w:pos="926"/>
        </w:tabs>
        <w:ind w:left="926" w:hanging="360"/>
      </w:pPr>
      <w:rPr>
        <w:rFonts w:cs="Times New Roman"/>
      </w:rPr>
    </w:lvl>
  </w:abstractNum>
  <w:abstractNum w:abstractNumId="3" w15:restartNumberingAfterBreak="0">
    <w:nsid w:val="FFFFFF7F"/>
    <w:multiLevelType w:val="singleLevel"/>
    <w:tmpl w:val="D51292A4"/>
    <w:lvl w:ilvl="0">
      <w:start w:val="1"/>
      <w:numFmt w:val="decimal"/>
      <w:pStyle w:val="Numreradlista2"/>
      <w:lvlText w:val="%1."/>
      <w:lvlJc w:val="left"/>
      <w:pPr>
        <w:tabs>
          <w:tab w:val="num" w:pos="643"/>
        </w:tabs>
        <w:ind w:left="643" w:hanging="360"/>
      </w:pPr>
      <w:rPr>
        <w:rFonts w:cs="Times New Roman"/>
      </w:rPr>
    </w:lvl>
  </w:abstractNum>
  <w:abstractNum w:abstractNumId="4" w15:restartNumberingAfterBreak="0">
    <w:nsid w:val="FFFFFF80"/>
    <w:multiLevelType w:val="singleLevel"/>
    <w:tmpl w:val="473E9CD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6C73C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C7A2E"/>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16696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70F37A"/>
    <w:lvl w:ilvl="0">
      <w:start w:val="1"/>
      <w:numFmt w:val="decimal"/>
      <w:pStyle w:val="Numreradlista"/>
      <w:lvlText w:val="%1."/>
      <w:lvlJc w:val="left"/>
      <w:pPr>
        <w:tabs>
          <w:tab w:val="num" w:pos="360"/>
        </w:tabs>
        <w:ind w:left="360" w:hanging="360"/>
      </w:pPr>
      <w:rPr>
        <w:rFonts w:cs="Times New Roman"/>
      </w:rPr>
    </w:lvl>
  </w:abstractNum>
  <w:abstractNum w:abstractNumId="9" w15:restartNumberingAfterBreak="0">
    <w:nsid w:val="FFFFFF89"/>
    <w:multiLevelType w:val="singleLevel"/>
    <w:tmpl w:val="214499C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A6C6723"/>
    <w:multiLevelType w:val="hybridMultilevel"/>
    <w:tmpl w:val="C2442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870C42"/>
    <w:multiLevelType w:val="hybridMultilevel"/>
    <w:tmpl w:val="D7569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4323C1"/>
    <w:multiLevelType w:val="hybridMultilevel"/>
    <w:tmpl w:val="D27A4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F1840FE"/>
    <w:multiLevelType w:val="hybridMultilevel"/>
    <w:tmpl w:val="11789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1E609D"/>
    <w:multiLevelType w:val="hybridMultilevel"/>
    <w:tmpl w:val="8B50EB16"/>
    <w:lvl w:ilvl="0" w:tplc="C8785320">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45423B1B"/>
    <w:multiLevelType w:val="hybridMultilevel"/>
    <w:tmpl w:val="7A6260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0B17F4"/>
    <w:multiLevelType w:val="hybridMultilevel"/>
    <w:tmpl w:val="48C8A08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691B725A"/>
    <w:multiLevelType w:val="hybridMultilevel"/>
    <w:tmpl w:val="6A906F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B5C4120"/>
    <w:multiLevelType w:val="hybridMultilevel"/>
    <w:tmpl w:val="4134D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15"/>
  </w:num>
  <w:num w:numId="13">
    <w:abstractNumId w:val="14"/>
  </w:num>
  <w:num w:numId="14">
    <w:abstractNumId w:val="10"/>
  </w:num>
  <w:num w:numId="15">
    <w:abstractNumId w:val="11"/>
  </w:num>
  <w:num w:numId="16">
    <w:abstractNumId w:val="12"/>
  </w:num>
  <w:num w:numId="17">
    <w:abstractNumId w:val="13"/>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4"/>
  </w:num>
  <w:num w:numId="29">
    <w:abstractNumId w:val="14"/>
  </w:num>
  <w:num w:numId="30">
    <w:abstractNumId w:val="14"/>
  </w:num>
  <w:num w:numId="31">
    <w:abstractNumId w:val="14"/>
  </w:num>
  <w:num w:numId="32">
    <w:abstractNumId w:val="1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44"/>
    <w:rsid w:val="00000749"/>
    <w:rsid w:val="00001507"/>
    <w:rsid w:val="00002045"/>
    <w:rsid w:val="00005661"/>
    <w:rsid w:val="00022CFD"/>
    <w:rsid w:val="00023EDA"/>
    <w:rsid w:val="00024FBD"/>
    <w:rsid w:val="00025FA7"/>
    <w:rsid w:val="00036BC0"/>
    <w:rsid w:val="00040CAD"/>
    <w:rsid w:val="00042885"/>
    <w:rsid w:val="00042E5F"/>
    <w:rsid w:val="00044CBA"/>
    <w:rsid w:val="00050DC2"/>
    <w:rsid w:val="00052E15"/>
    <w:rsid w:val="000556E7"/>
    <w:rsid w:val="00056816"/>
    <w:rsid w:val="00056F2A"/>
    <w:rsid w:val="00057A95"/>
    <w:rsid w:val="00060AF4"/>
    <w:rsid w:val="0007168F"/>
    <w:rsid w:val="000723B1"/>
    <w:rsid w:val="00074CEC"/>
    <w:rsid w:val="000761F9"/>
    <w:rsid w:val="000776A9"/>
    <w:rsid w:val="00082A97"/>
    <w:rsid w:val="00083205"/>
    <w:rsid w:val="00090448"/>
    <w:rsid w:val="00091DE5"/>
    <w:rsid w:val="00093501"/>
    <w:rsid w:val="00094B61"/>
    <w:rsid w:val="00094CA0"/>
    <w:rsid w:val="00096B79"/>
    <w:rsid w:val="000A1617"/>
    <w:rsid w:val="000A7B33"/>
    <w:rsid w:val="000B2273"/>
    <w:rsid w:val="000B406A"/>
    <w:rsid w:val="000B5265"/>
    <w:rsid w:val="000C7134"/>
    <w:rsid w:val="000D184E"/>
    <w:rsid w:val="000D21E2"/>
    <w:rsid w:val="000D5878"/>
    <w:rsid w:val="000D6F27"/>
    <w:rsid w:val="000E2EFD"/>
    <w:rsid w:val="000E6F80"/>
    <w:rsid w:val="000E7E6F"/>
    <w:rsid w:val="000F2F5E"/>
    <w:rsid w:val="000F366D"/>
    <w:rsid w:val="000F443C"/>
    <w:rsid w:val="000F7074"/>
    <w:rsid w:val="000F7230"/>
    <w:rsid w:val="00102D0D"/>
    <w:rsid w:val="001079EA"/>
    <w:rsid w:val="00110618"/>
    <w:rsid w:val="00112E86"/>
    <w:rsid w:val="00114724"/>
    <w:rsid w:val="001251A9"/>
    <w:rsid w:val="00126462"/>
    <w:rsid w:val="001348A2"/>
    <w:rsid w:val="00136F69"/>
    <w:rsid w:val="00146E2C"/>
    <w:rsid w:val="00162291"/>
    <w:rsid w:val="0016255A"/>
    <w:rsid w:val="0016333C"/>
    <w:rsid w:val="00180F91"/>
    <w:rsid w:val="0018227C"/>
    <w:rsid w:val="00183686"/>
    <w:rsid w:val="00184F58"/>
    <w:rsid w:val="001909E9"/>
    <w:rsid w:val="001968FD"/>
    <w:rsid w:val="001A2F0E"/>
    <w:rsid w:val="001A62C8"/>
    <w:rsid w:val="001A6378"/>
    <w:rsid w:val="001B1179"/>
    <w:rsid w:val="001B39D9"/>
    <w:rsid w:val="001C04F9"/>
    <w:rsid w:val="001C3C04"/>
    <w:rsid w:val="001C460F"/>
    <w:rsid w:val="001D4AB5"/>
    <w:rsid w:val="001D6B80"/>
    <w:rsid w:val="001E00A5"/>
    <w:rsid w:val="001E1FEA"/>
    <w:rsid w:val="001E2093"/>
    <w:rsid w:val="001E7082"/>
    <w:rsid w:val="001F0E02"/>
    <w:rsid w:val="001F2693"/>
    <w:rsid w:val="001F2F73"/>
    <w:rsid w:val="001F38A2"/>
    <w:rsid w:val="001F6033"/>
    <w:rsid w:val="00201746"/>
    <w:rsid w:val="002136B0"/>
    <w:rsid w:val="0021407F"/>
    <w:rsid w:val="00220A5A"/>
    <w:rsid w:val="0022719E"/>
    <w:rsid w:val="0024165C"/>
    <w:rsid w:val="002454AE"/>
    <w:rsid w:val="00245B08"/>
    <w:rsid w:val="00245C06"/>
    <w:rsid w:val="002508BC"/>
    <w:rsid w:val="00251815"/>
    <w:rsid w:val="00253F93"/>
    <w:rsid w:val="00254A57"/>
    <w:rsid w:val="0025603A"/>
    <w:rsid w:val="0025779F"/>
    <w:rsid w:val="002624B3"/>
    <w:rsid w:val="0026424F"/>
    <w:rsid w:val="00275B0F"/>
    <w:rsid w:val="002819A4"/>
    <w:rsid w:val="00282562"/>
    <w:rsid w:val="00284117"/>
    <w:rsid w:val="002A1849"/>
    <w:rsid w:val="002A313B"/>
    <w:rsid w:val="002A42AB"/>
    <w:rsid w:val="002A6251"/>
    <w:rsid w:val="002A6BD4"/>
    <w:rsid w:val="002A7AFE"/>
    <w:rsid w:val="002B0082"/>
    <w:rsid w:val="002B273C"/>
    <w:rsid w:val="002B36A2"/>
    <w:rsid w:val="002B497F"/>
    <w:rsid w:val="002B6F61"/>
    <w:rsid w:val="002C2911"/>
    <w:rsid w:val="002C4C11"/>
    <w:rsid w:val="002C5C4E"/>
    <w:rsid w:val="002C66D2"/>
    <w:rsid w:val="002D01BC"/>
    <w:rsid w:val="002D08A4"/>
    <w:rsid w:val="002D7CDD"/>
    <w:rsid w:val="002E5B7C"/>
    <w:rsid w:val="002E6B79"/>
    <w:rsid w:val="002F144E"/>
    <w:rsid w:val="002F4508"/>
    <w:rsid w:val="002F763B"/>
    <w:rsid w:val="00300321"/>
    <w:rsid w:val="003014D8"/>
    <w:rsid w:val="00302A75"/>
    <w:rsid w:val="00303ADF"/>
    <w:rsid w:val="00303DA5"/>
    <w:rsid w:val="00313120"/>
    <w:rsid w:val="0031460E"/>
    <w:rsid w:val="00315D4E"/>
    <w:rsid w:val="00324BD1"/>
    <w:rsid w:val="00326FAB"/>
    <w:rsid w:val="00331D95"/>
    <w:rsid w:val="00332574"/>
    <w:rsid w:val="0033303E"/>
    <w:rsid w:val="00337DDB"/>
    <w:rsid w:val="00340C2A"/>
    <w:rsid w:val="0034280F"/>
    <w:rsid w:val="0035066C"/>
    <w:rsid w:val="00352028"/>
    <w:rsid w:val="003549D4"/>
    <w:rsid w:val="0035521A"/>
    <w:rsid w:val="0035561B"/>
    <w:rsid w:val="00355B6C"/>
    <w:rsid w:val="003574C3"/>
    <w:rsid w:val="00360D4F"/>
    <w:rsid w:val="00365C76"/>
    <w:rsid w:val="00367E66"/>
    <w:rsid w:val="003727F5"/>
    <w:rsid w:val="00373126"/>
    <w:rsid w:val="00373493"/>
    <w:rsid w:val="00380B34"/>
    <w:rsid w:val="00382FE9"/>
    <w:rsid w:val="003854B0"/>
    <w:rsid w:val="0039421A"/>
    <w:rsid w:val="0039431B"/>
    <w:rsid w:val="003959E3"/>
    <w:rsid w:val="003A5D47"/>
    <w:rsid w:val="003A6A61"/>
    <w:rsid w:val="003B0736"/>
    <w:rsid w:val="003B1269"/>
    <w:rsid w:val="003B28B0"/>
    <w:rsid w:val="003B4F4A"/>
    <w:rsid w:val="003C3459"/>
    <w:rsid w:val="003D2484"/>
    <w:rsid w:val="003D2966"/>
    <w:rsid w:val="003D2A1E"/>
    <w:rsid w:val="003D2CAD"/>
    <w:rsid w:val="003D4713"/>
    <w:rsid w:val="003E05A0"/>
    <w:rsid w:val="003E077E"/>
    <w:rsid w:val="003E70BA"/>
    <w:rsid w:val="003F4001"/>
    <w:rsid w:val="003F691E"/>
    <w:rsid w:val="00401E8D"/>
    <w:rsid w:val="004028C8"/>
    <w:rsid w:val="00402E47"/>
    <w:rsid w:val="00415CCC"/>
    <w:rsid w:val="00415F87"/>
    <w:rsid w:val="004209FA"/>
    <w:rsid w:val="0042480D"/>
    <w:rsid w:val="00435D64"/>
    <w:rsid w:val="004405E9"/>
    <w:rsid w:val="00445AA3"/>
    <w:rsid w:val="004460B8"/>
    <w:rsid w:val="004472E9"/>
    <w:rsid w:val="00447FE1"/>
    <w:rsid w:val="00451A51"/>
    <w:rsid w:val="0046331E"/>
    <w:rsid w:val="00470857"/>
    <w:rsid w:val="00475C9A"/>
    <w:rsid w:val="00475EEB"/>
    <w:rsid w:val="00477B08"/>
    <w:rsid w:val="00481659"/>
    <w:rsid w:val="00482D66"/>
    <w:rsid w:val="00483B19"/>
    <w:rsid w:val="00484948"/>
    <w:rsid w:val="00490389"/>
    <w:rsid w:val="0049187A"/>
    <w:rsid w:val="00493969"/>
    <w:rsid w:val="004A4847"/>
    <w:rsid w:val="004A549D"/>
    <w:rsid w:val="004A78BA"/>
    <w:rsid w:val="004B6ECA"/>
    <w:rsid w:val="004B7BA4"/>
    <w:rsid w:val="004C004C"/>
    <w:rsid w:val="004C0D8C"/>
    <w:rsid w:val="004C6980"/>
    <w:rsid w:val="004C6B87"/>
    <w:rsid w:val="004C7D3D"/>
    <w:rsid w:val="004C7D5E"/>
    <w:rsid w:val="004D3B04"/>
    <w:rsid w:val="004D4A91"/>
    <w:rsid w:val="004D655F"/>
    <w:rsid w:val="004E07EC"/>
    <w:rsid w:val="004E275C"/>
    <w:rsid w:val="004E760C"/>
    <w:rsid w:val="004F12DA"/>
    <w:rsid w:val="004F17EB"/>
    <w:rsid w:val="004F1851"/>
    <w:rsid w:val="004F2F9C"/>
    <w:rsid w:val="004F5A33"/>
    <w:rsid w:val="00501FF2"/>
    <w:rsid w:val="005148CE"/>
    <w:rsid w:val="00521101"/>
    <w:rsid w:val="005237F5"/>
    <w:rsid w:val="005241FD"/>
    <w:rsid w:val="00526F8D"/>
    <w:rsid w:val="0052705C"/>
    <w:rsid w:val="0053176C"/>
    <w:rsid w:val="00541346"/>
    <w:rsid w:val="00544410"/>
    <w:rsid w:val="00553833"/>
    <w:rsid w:val="00563712"/>
    <w:rsid w:val="00564E83"/>
    <w:rsid w:val="0057661E"/>
    <w:rsid w:val="005810B6"/>
    <w:rsid w:val="00583F5A"/>
    <w:rsid w:val="00584F88"/>
    <w:rsid w:val="005930F3"/>
    <w:rsid w:val="00593B25"/>
    <w:rsid w:val="00595850"/>
    <w:rsid w:val="0059726B"/>
    <w:rsid w:val="005A00AA"/>
    <w:rsid w:val="005A4353"/>
    <w:rsid w:val="005A6890"/>
    <w:rsid w:val="005B0985"/>
    <w:rsid w:val="005B0B7D"/>
    <w:rsid w:val="005B21E1"/>
    <w:rsid w:val="005B3464"/>
    <w:rsid w:val="005B3785"/>
    <w:rsid w:val="005B4298"/>
    <w:rsid w:val="005B5F23"/>
    <w:rsid w:val="005C05C3"/>
    <w:rsid w:val="005C24E4"/>
    <w:rsid w:val="005C2EBE"/>
    <w:rsid w:val="005C5B1B"/>
    <w:rsid w:val="005C6E2F"/>
    <w:rsid w:val="005D067B"/>
    <w:rsid w:val="005D130C"/>
    <w:rsid w:val="005D24D3"/>
    <w:rsid w:val="005D2BBC"/>
    <w:rsid w:val="005D5EA2"/>
    <w:rsid w:val="005D605B"/>
    <w:rsid w:val="005D7A7A"/>
    <w:rsid w:val="005F0839"/>
    <w:rsid w:val="005F3A60"/>
    <w:rsid w:val="005F3ADA"/>
    <w:rsid w:val="005F3BA9"/>
    <w:rsid w:val="005F4FA0"/>
    <w:rsid w:val="005F58D2"/>
    <w:rsid w:val="00600972"/>
    <w:rsid w:val="006009A1"/>
    <w:rsid w:val="0060178B"/>
    <w:rsid w:val="00604DE4"/>
    <w:rsid w:val="006064EC"/>
    <w:rsid w:val="00606977"/>
    <w:rsid w:val="00610008"/>
    <w:rsid w:val="006102AD"/>
    <w:rsid w:val="006129F8"/>
    <w:rsid w:val="00614493"/>
    <w:rsid w:val="00615D54"/>
    <w:rsid w:val="00616118"/>
    <w:rsid w:val="0062225B"/>
    <w:rsid w:val="006230A0"/>
    <w:rsid w:val="00625D62"/>
    <w:rsid w:val="00626B78"/>
    <w:rsid w:val="00633D9B"/>
    <w:rsid w:val="00635D08"/>
    <w:rsid w:val="0063717F"/>
    <w:rsid w:val="00637AAC"/>
    <w:rsid w:val="00640A86"/>
    <w:rsid w:val="00645586"/>
    <w:rsid w:val="00647127"/>
    <w:rsid w:val="006472B8"/>
    <w:rsid w:val="00651D3B"/>
    <w:rsid w:val="006528D6"/>
    <w:rsid w:val="006545D8"/>
    <w:rsid w:val="006631CD"/>
    <w:rsid w:val="00665441"/>
    <w:rsid w:val="00671F19"/>
    <w:rsid w:val="00672B98"/>
    <w:rsid w:val="00677AEF"/>
    <w:rsid w:val="00683050"/>
    <w:rsid w:val="0068354D"/>
    <w:rsid w:val="00685E57"/>
    <w:rsid w:val="006862C5"/>
    <w:rsid w:val="0069311D"/>
    <w:rsid w:val="006934F3"/>
    <w:rsid w:val="006A197C"/>
    <w:rsid w:val="006A3071"/>
    <w:rsid w:val="006A4219"/>
    <w:rsid w:val="006B0CAA"/>
    <w:rsid w:val="006B1154"/>
    <w:rsid w:val="006B1D36"/>
    <w:rsid w:val="006B3279"/>
    <w:rsid w:val="006B400F"/>
    <w:rsid w:val="006B5E43"/>
    <w:rsid w:val="006B6556"/>
    <w:rsid w:val="006C23EC"/>
    <w:rsid w:val="006C332E"/>
    <w:rsid w:val="006C7B44"/>
    <w:rsid w:val="006D5F3C"/>
    <w:rsid w:val="006E2C52"/>
    <w:rsid w:val="006E437E"/>
    <w:rsid w:val="006E4467"/>
    <w:rsid w:val="006E5DAD"/>
    <w:rsid w:val="006E6246"/>
    <w:rsid w:val="006E77C9"/>
    <w:rsid w:val="006F0450"/>
    <w:rsid w:val="006F05CD"/>
    <w:rsid w:val="006F0DD6"/>
    <w:rsid w:val="006F4A0D"/>
    <w:rsid w:val="006F4BD4"/>
    <w:rsid w:val="00700F0B"/>
    <w:rsid w:val="007017D6"/>
    <w:rsid w:val="00701FA0"/>
    <w:rsid w:val="00702F0F"/>
    <w:rsid w:val="00710445"/>
    <w:rsid w:val="00710BD6"/>
    <w:rsid w:val="00714FD2"/>
    <w:rsid w:val="00720748"/>
    <w:rsid w:val="007240E0"/>
    <w:rsid w:val="00726682"/>
    <w:rsid w:val="00726F7A"/>
    <w:rsid w:val="00731097"/>
    <w:rsid w:val="007323BF"/>
    <w:rsid w:val="00733274"/>
    <w:rsid w:val="0073478B"/>
    <w:rsid w:val="007403E3"/>
    <w:rsid w:val="00741E56"/>
    <w:rsid w:val="007474C1"/>
    <w:rsid w:val="007500DA"/>
    <w:rsid w:val="0075084D"/>
    <w:rsid w:val="0075356A"/>
    <w:rsid w:val="00753770"/>
    <w:rsid w:val="0075419D"/>
    <w:rsid w:val="00756E35"/>
    <w:rsid w:val="007628A8"/>
    <w:rsid w:val="00763976"/>
    <w:rsid w:val="0077623B"/>
    <w:rsid w:val="007813D8"/>
    <w:rsid w:val="0078219B"/>
    <w:rsid w:val="007833A6"/>
    <w:rsid w:val="00784194"/>
    <w:rsid w:val="0078635E"/>
    <w:rsid w:val="00787AF4"/>
    <w:rsid w:val="00792CF2"/>
    <w:rsid w:val="00794ED2"/>
    <w:rsid w:val="00795BB8"/>
    <w:rsid w:val="007A1658"/>
    <w:rsid w:val="007A3EBF"/>
    <w:rsid w:val="007A4ABE"/>
    <w:rsid w:val="007A624F"/>
    <w:rsid w:val="007B32A5"/>
    <w:rsid w:val="007C4C85"/>
    <w:rsid w:val="007C7DDA"/>
    <w:rsid w:val="007D0E4B"/>
    <w:rsid w:val="007D21B3"/>
    <w:rsid w:val="007D25AE"/>
    <w:rsid w:val="007E1765"/>
    <w:rsid w:val="007E2ED9"/>
    <w:rsid w:val="007E2FB0"/>
    <w:rsid w:val="007E42B1"/>
    <w:rsid w:val="007E53C1"/>
    <w:rsid w:val="007E58B2"/>
    <w:rsid w:val="007F14E7"/>
    <w:rsid w:val="007F1D35"/>
    <w:rsid w:val="007F5F7B"/>
    <w:rsid w:val="007F6E96"/>
    <w:rsid w:val="0080149E"/>
    <w:rsid w:val="0080432C"/>
    <w:rsid w:val="00805A8D"/>
    <w:rsid w:val="00806F89"/>
    <w:rsid w:val="00814E80"/>
    <w:rsid w:val="008162B6"/>
    <w:rsid w:val="00816E53"/>
    <w:rsid w:val="008214FF"/>
    <w:rsid w:val="00822221"/>
    <w:rsid w:val="0082409C"/>
    <w:rsid w:val="008266C5"/>
    <w:rsid w:val="00827A34"/>
    <w:rsid w:val="00831DAA"/>
    <w:rsid w:val="00834593"/>
    <w:rsid w:val="00840059"/>
    <w:rsid w:val="008408B5"/>
    <w:rsid w:val="008424BA"/>
    <w:rsid w:val="00842809"/>
    <w:rsid w:val="00843CEA"/>
    <w:rsid w:val="0084568F"/>
    <w:rsid w:val="00845932"/>
    <w:rsid w:val="008470FC"/>
    <w:rsid w:val="0085253E"/>
    <w:rsid w:val="00852DA0"/>
    <w:rsid w:val="00853172"/>
    <w:rsid w:val="00861BAA"/>
    <w:rsid w:val="00861EED"/>
    <w:rsid w:val="00862622"/>
    <w:rsid w:val="008626E3"/>
    <w:rsid w:val="00863028"/>
    <w:rsid w:val="008719E2"/>
    <w:rsid w:val="00871B0A"/>
    <w:rsid w:val="00872DA4"/>
    <w:rsid w:val="008733E0"/>
    <w:rsid w:val="00877B01"/>
    <w:rsid w:val="00881B5C"/>
    <w:rsid w:val="0088550C"/>
    <w:rsid w:val="0089282F"/>
    <w:rsid w:val="008954E0"/>
    <w:rsid w:val="00897FA0"/>
    <w:rsid w:val="008A348B"/>
    <w:rsid w:val="008A5E0E"/>
    <w:rsid w:val="008C4B14"/>
    <w:rsid w:val="008D1BFE"/>
    <w:rsid w:val="008D256D"/>
    <w:rsid w:val="008D52E2"/>
    <w:rsid w:val="008E1DEC"/>
    <w:rsid w:val="008E3179"/>
    <w:rsid w:val="008E31FB"/>
    <w:rsid w:val="008F14A8"/>
    <w:rsid w:val="008F255E"/>
    <w:rsid w:val="008F256B"/>
    <w:rsid w:val="008F4A58"/>
    <w:rsid w:val="008F753B"/>
    <w:rsid w:val="008F7F77"/>
    <w:rsid w:val="00906FA8"/>
    <w:rsid w:val="00907F89"/>
    <w:rsid w:val="00910EA1"/>
    <w:rsid w:val="009119D7"/>
    <w:rsid w:val="00912406"/>
    <w:rsid w:val="009149E7"/>
    <w:rsid w:val="009165DC"/>
    <w:rsid w:val="009212DC"/>
    <w:rsid w:val="009230B2"/>
    <w:rsid w:val="009248E2"/>
    <w:rsid w:val="00924BAA"/>
    <w:rsid w:val="00927F6B"/>
    <w:rsid w:val="0093184B"/>
    <w:rsid w:val="00933F3B"/>
    <w:rsid w:val="00946D06"/>
    <w:rsid w:val="0095107B"/>
    <w:rsid w:val="0095113A"/>
    <w:rsid w:val="00954CF5"/>
    <w:rsid w:val="009551D7"/>
    <w:rsid w:val="00955F52"/>
    <w:rsid w:val="00956CEC"/>
    <w:rsid w:val="00957953"/>
    <w:rsid w:val="009619D0"/>
    <w:rsid w:val="00963423"/>
    <w:rsid w:val="009647F5"/>
    <w:rsid w:val="00967457"/>
    <w:rsid w:val="00971EB7"/>
    <w:rsid w:val="00975237"/>
    <w:rsid w:val="009774CB"/>
    <w:rsid w:val="00990390"/>
    <w:rsid w:val="00990CC2"/>
    <w:rsid w:val="00991EB9"/>
    <w:rsid w:val="009927E0"/>
    <w:rsid w:val="009A368F"/>
    <w:rsid w:val="009B727D"/>
    <w:rsid w:val="009C004C"/>
    <w:rsid w:val="009C250D"/>
    <w:rsid w:val="009C45C1"/>
    <w:rsid w:val="009C66CD"/>
    <w:rsid w:val="009C79CB"/>
    <w:rsid w:val="009D01CC"/>
    <w:rsid w:val="009D3F27"/>
    <w:rsid w:val="009D41DC"/>
    <w:rsid w:val="009D7E83"/>
    <w:rsid w:val="009E0414"/>
    <w:rsid w:val="009E0B4A"/>
    <w:rsid w:val="009E19D6"/>
    <w:rsid w:val="009E2AE6"/>
    <w:rsid w:val="009F34C5"/>
    <w:rsid w:val="009F431C"/>
    <w:rsid w:val="00A0035C"/>
    <w:rsid w:val="00A00892"/>
    <w:rsid w:val="00A032E1"/>
    <w:rsid w:val="00A06395"/>
    <w:rsid w:val="00A1171C"/>
    <w:rsid w:val="00A12949"/>
    <w:rsid w:val="00A15816"/>
    <w:rsid w:val="00A248C8"/>
    <w:rsid w:val="00A31917"/>
    <w:rsid w:val="00A32F4A"/>
    <w:rsid w:val="00A342EF"/>
    <w:rsid w:val="00A354A0"/>
    <w:rsid w:val="00A406ED"/>
    <w:rsid w:val="00A43AF5"/>
    <w:rsid w:val="00A4403F"/>
    <w:rsid w:val="00A46FEF"/>
    <w:rsid w:val="00A52349"/>
    <w:rsid w:val="00A6478C"/>
    <w:rsid w:val="00A70E69"/>
    <w:rsid w:val="00A74766"/>
    <w:rsid w:val="00A81774"/>
    <w:rsid w:val="00A823B1"/>
    <w:rsid w:val="00A908E7"/>
    <w:rsid w:val="00A917C7"/>
    <w:rsid w:val="00A919BB"/>
    <w:rsid w:val="00A92F3B"/>
    <w:rsid w:val="00A93254"/>
    <w:rsid w:val="00A93976"/>
    <w:rsid w:val="00AA0D56"/>
    <w:rsid w:val="00AA18B8"/>
    <w:rsid w:val="00AB1E3C"/>
    <w:rsid w:val="00AB77D7"/>
    <w:rsid w:val="00AC20A5"/>
    <w:rsid w:val="00AD3828"/>
    <w:rsid w:val="00AD4555"/>
    <w:rsid w:val="00AE1457"/>
    <w:rsid w:val="00AF62AA"/>
    <w:rsid w:val="00AF76C3"/>
    <w:rsid w:val="00B021F3"/>
    <w:rsid w:val="00B06513"/>
    <w:rsid w:val="00B06FEC"/>
    <w:rsid w:val="00B101E7"/>
    <w:rsid w:val="00B13C5E"/>
    <w:rsid w:val="00B24223"/>
    <w:rsid w:val="00B31BBB"/>
    <w:rsid w:val="00B31F85"/>
    <w:rsid w:val="00B32593"/>
    <w:rsid w:val="00B345C6"/>
    <w:rsid w:val="00B37D3D"/>
    <w:rsid w:val="00B4078B"/>
    <w:rsid w:val="00B45E75"/>
    <w:rsid w:val="00B52946"/>
    <w:rsid w:val="00B55927"/>
    <w:rsid w:val="00B55D18"/>
    <w:rsid w:val="00B60061"/>
    <w:rsid w:val="00B616F1"/>
    <w:rsid w:val="00B67C69"/>
    <w:rsid w:val="00B71E95"/>
    <w:rsid w:val="00B74C03"/>
    <w:rsid w:val="00B75829"/>
    <w:rsid w:val="00B75970"/>
    <w:rsid w:val="00B805AF"/>
    <w:rsid w:val="00B8068F"/>
    <w:rsid w:val="00B844E6"/>
    <w:rsid w:val="00B846DF"/>
    <w:rsid w:val="00B87C14"/>
    <w:rsid w:val="00B943CB"/>
    <w:rsid w:val="00B96922"/>
    <w:rsid w:val="00B9755B"/>
    <w:rsid w:val="00BA2D8C"/>
    <w:rsid w:val="00BA70E9"/>
    <w:rsid w:val="00BA7106"/>
    <w:rsid w:val="00BB2D4A"/>
    <w:rsid w:val="00BB388E"/>
    <w:rsid w:val="00BB38D5"/>
    <w:rsid w:val="00BB7FB5"/>
    <w:rsid w:val="00BC1494"/>
    <w:rsid w:val="00BC2845"/>
    <w:rsid w:val="00BC63AA"/>
    <w:rsid w:val="00BC7004"/>
    <w:rsid w:val="00BD06CF"/>
    <w:rsid w:val="00BD2D94"/>
    <w:rsid w:val="00BD3887"/>
    <w:rsid w:val="00BD6941"/>
    <w:rsid w:val="00BD69A9"/>
    <w:rsid w:val="00BD7D14"/>
    <w:rsid w:val="00BE1435"/>
    <w:rsid w:val="00BF0B99"/>
    <w:rsid w:val="00C04B0A"/>
    <w:rsid w:val="00C0500E"/>
    <w:rsid w:val="00C05D9E"/>
    <w:rsid w:val="00C0686C"/>
    <w:rsid w:val="00C23E15"/>
    <w:rsid w:val="00C258F6"/>
    <w:rsid w:val="00C31409"/>
    <w:rsid w:val="00C33046"/>
    <w:rsid w:val="00C35287"/>
    <w:rsid w:val="00C4228A"/>
    <w:rsid w:val="00C44F9D"/>
    <w:rsid w:val="00C45BE6"/>
    <w:rsid w:val="00C51FA8"/>
    <w:rsid w:val="00C5227A"/>
    <w:rsid w:val="00C52E91"/>
    <w:rsid w:val="00C53C42"/>
    <w:rsid w:val="00C5606A"/>
    <w:rsid w:val="00C56AFB"/>
    <w:rsid w:val="00C56D11"/>
    <w:rsid w:val="00C5722E"/>
    <w:rsid w:val="00C62565"/>
    <w:rsid w:val="00C62D32"/>
    <w:rsid w:val="00C643C2"/>
    <w:rsid w:val="00C64E29"/>
    <w:rsid w:val="00C6543E"/>
    <w:rsid w:val="00C67264"/>
    <w:rsid w:val="00C75515"/>
    <w:rsid w:val="00C757A8"/>
    <w:rsid w:val="00C7698F"/>
    <w:rsid w:val="00C823A6"/>
    <w:rsid w:val="00C83326"/>
    <w:rsid w:val="00C86CF7"/>
    <w:rsid w:val="00C87513"/>
    <w:rsid w:val="00C87E70"/>
    <w:rsid w:val="00C94635"/>
    <w:rsid w:val="00C952F4"/>
    <w:rsid w:val="00C964FE"/>
    <w:rsid w:val="00CA0EE7"/>
    <w:rsid w:val="00CB46FF"/>
    <w:rsid w:val="00CB59E8"/>
    <w:rsid w:val="00CB7EB4"/>
    <w:rsid w:val="00CC0460"/>
    <w:rsid w:val="00CC2E27"/>
    <w:rsid w:val="00CC3A18"/>
    <w:rsid w:val="00CC5F57"/>
    <w:rsid w:val="00CC7896"/>
    <w:rsid w:val="00CD0DD3"/>
    <w:rsid w:val="00CD10CB"/>
    <w:rsid w:val="00CD533E"/>
    <w:rsid w:val="00CE4FC9"/>
    <w:rsid w:val="00CE586A"/>
    <w:rsid w:val="00CE5B80"/>
    <w:rsid w:val="00CF3F87"/>
    <w:rsid w:val="00D0059A"/>
    <w:rsid w:val="00D03246"/>
    <w:rsid w:val="00D07A96"/>
    <w:rsid w:val="00D11753"/>
    <w:rsid w:val="00D15A0D"/>
    <w:rsid w:val="00D22FA5"/>
    <w:rsid w:val="00D25695"/>
    <w:rsid w:val="00D30A8D"/>
    <w:rsid w:val="00D33BBE"/>
    <w:rsid w:val="00D35FB0"/>
    <w:rsid w:val="00D4006E"/>
    <w:rsid w:val="00D4065A"/>
    <w:rsid w:val="00D45390"/>
    <w:rsid w:val="00D45735"/>
    <w:rsid w:val="00D47877"/>
    <w:rsid w:val="00D51B4F"/>
    <w:rsid w:val="00D56056"/>
    <w:rsid w:val="00D57C8F"/>
    <w:rsid w:val="00D70961"/>
    <w:rsid w:val="00D738DF"/>
    <w:rsid w:val="00D73E79"/>
    <w:rsid w:val="00D917DF"/>
    <w:rsid w:val="00D924B5"/>
    <w:rsid w:val="00D93655"/>
    <w:rsid w:val="00D96536"/>
    <w:rsid w:val="00DC198D"/>
    <w:rsid w:val="00DC6457"/>
    <w:rsid w:val="00DC7D18"/>
    <w:rsid w:val="00DD4DD7"/>
    <w:rsid w:val="00DD53AC"/>
    <w:rsid w:val="00DE1E0D"/>
    <w:rsid w:val="00DE209E"/>
    <w:rsid w:val="00DE2EEA"/>
    <w:rsid w:val="00DF01FE"/>
    <w:rsid w:val="00DF2586"/>
    <w:rsid w:val="00DF421D"/>
    <w:rsid w:val="00DF6451"/>
    <w:rsid w:val="00DF6AAE"/>
    <w:rsid w:val="00DF77CC"/>
    <w:rsid w:val="00E02200"/>
    <w:rsid w:val="00E04A3D"/>
    <w:rsid w:val="00E12707"/>
    <w:rsid w:val="00E1340A"/>
    <w:rsid w:val="00E13BE3"/>
    <w:rsid w:val="00E14131"/>
    <w:rsid w:val="00E14FEA"/>
    <w:rsid w:val="00E16E75"/>
    <w:rsid w:val="00E201F9"/>
    <w:rsid w:val="00E23E73"/>
    <w:rsid w:val="00E25561"/>
    <w:rsid w:val="00E25967"/>
    <w:rsid w:val="00E3379F"/>
    <w:rsid w:val="00E34FB3"/>
    <w:rsid w:val="00E533D3"/>
    <w:rsid w:val="00E546AA"/>
    <w:rsid w:val="00E55E1F"/>
    <w:rsid w:val="00E56A17"/>
    <w:rsid w:val="00E60218"/>
    <w:rsid w:val="00E60544"/>
    <w:rsid w:val="00E6169C"/>
    <w:rsid w:val="00E66FFF"/>
    <w:rsid w:val="00E7030C"/>
    <w:rsid w:val="00E714A8"/>
    <w:rsid w:val="00E732BC"/>
    <w:rsid w:val="00E752DD"/>
    <w:rsid w:val="00E7773E"/>
    <w:rsid w:val="00E8253B"/>
    <w:rsid w:val="00E83225"/>
    <w:rsid w:val="00E85A41"/>
    <w:rsid w:val="00E97914"/>
    <w:rsid w:val="00E97D15"/>
    <w:rsid w:val="00EA01B0"/>
    <w:rsid w:val="00EA30FD"/>
    <w:rsid w:val="00EA37D4"/>
    <w:rsid w:val="00EA5BA8"/>
    <w:rsid w:val="00EA7127"/>
    <w:rsid w:val="00EB4A8B"/>
    <w:rsid w:val="00EC09A5"/>
    <w:rsid w:val="00EC207A"/>
    <w:rsid w:val="00EC6539"/>
    <w:rsid w:val="00EC7072"/>
    <w:rsid w:val="00EC728F"/>
    <w:rsid w:val="00EC7FB6"/>
    <w:rsid w:val="00EE2EBD"/>
    <w:rsid w:val="00EE4EC2"/>
    <w:rsid w:val="00EE5C44"/>
    <w:rsid w:val="00EE5ECB"/>
    <w:rsid w:val="00EE70F1"/>
    <w:rsid w:val="00EF1A22"/>
    <w:rsid w:val="00EF2455"/>
    <w:rsid w:val="00F02B19"/>
    <w:rsid w:val="00F04DDE"/>
    <w:rsid w:val="00F07525"/>
    <w:rsid w:val="00F12B13"/>
    <w:rsid w:val="00F13703"/>
    <w:rsid w:val="00F13AF7"/>
    <w:rsid w:val="00F17753"/>
    <w:rsid w:val="00F17D50"/>
    <w:rsid w:val="00F204DD"/>
    <w:rsid w:val="00F2140F"/>
    <w:rsid w:val="00F221CD"/>
    <w:rsid w:val="00F23355"/>
    <w:rsid w:val="00F25194"/>
    <w:rsid w:val="00F26535"/>
    <w:rsid w:val="00F2693A"/>
    <w:rsid w:val="00F26D73"/>
    <w:rsid w:val="00F333CB"/>
    <w:rsid w:val="00F35C1C"/>
    <w:rsid w:val="00F35DB0"/>
    <w:rsid w:val="00F36FE9"/>
    <w:rsid w:val="00F402D7"/>
    <w:rsid w:val="00F47285"/>
    <w:rsid w:val="00F4740A"/>
    <w:rsid w:val="00F535A8"/>
    <w:rsid w:val="00F53E38"/>
    <w:rsid w:val="00F545D3"/>
    <w:rsid w:val="00F55B39"/>
    <w:rsid w:val="00F56BD6"/>
    <w:rsid w:val="00F61BC6"/>
    <w:rsid w:val="00F6373C"/>
    <w:rsid w:val="00F63C80"/>
    <w:rsid w:val="00F70D4C"/>
    <w:rsid w:val="00F7158B"/>
    <w:rsid w:val="00F71E6F"/>
    <w:rsid w:val="00F73582"/>
    <w:rsid w:val="00F77390"/>
    <w:rsid w:val="00F80513"/>
    <w:rsid w:val="00F80986"/>
    <w:rsid w:val="00F86273"/>
    <w:rsid w:val="00F92DC4"/>
    <w:rsid w:val="00F9414B"/>
    <w:rsid w:val="00F95FDC"/>
    <w:rsid w:val="00FA650F"/>
    <w:rsid w:val="00FB12E2"/>
    <w:rsid w:val="00FB579E"/>
    <w:rsid w:val="00FC403E"/>
    <w:rsid w:val="00FC7A32"/>
    <w:rsid w:val="00FD0781"/>
    <w:rsid w:val="00FD0B63"/>
    <w:rsid w:val="00FD3E4D"/>
    <w:rsid w:val="00FD58F2"/>
    <w:rsid w:val="00FE7953"/>
    <w:rsid w:val="00FF05FE"/>
    <w:rsid w:val="00FF2D66"/>
    <w:rsid w:val="00FF5933"/>
    <w:rsid w:val="00FF7D0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C0F1DA"/>
  <w14:defaultImageDpi w14:val="0"/>
  <w15:docId w15:val="{0974B2DF-38EF-4930-9628-143888F3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4F58"/>
    <w:pPr>
      <w:jc w:val="both"/>
    </w:pPr>
    <w:rPr>
      <w:rFonts w:ascii="Arial" w:hAnsi="Arial" w:cs="Times New Roman"/>
      <w:sz w:val="24"/>
    </w:rPr>
  </w:style>
  <w:style w:type="paragraph" w:styleId="Rubrik1">
    <w:name w:val="heading 1"/>
    <w:basedOn w:val="Normal"/>
    <w:next w:val="Normal"/>
    <w:link w:val="Rubrik1Char"/>
    <w:uiPriority w:val="9"/>
    <w:qFormat/>
    <w:rsid w:val="00B52946"/>
    <w:pPr>
      <w:keepNext/>
      <w:keepLines/>
      <w:tabs>
        <w:tab w:val="num" w:pos="926"/>
      </w:tabs>
      <w:spacing w:before="480" w:after="0" w:line="360" w:lineRule="auto"/>
      <w:ind w:left="720" w:hanging="360"/>
      <w:outlineLvl w:val="0"/>
    </w:pPr>
    <w:rPr>
      <w:rFonts w:eastAsiaTheme="majorEastAsia"/>
      <w:b/>
      <w:bCs/>
      <w:color w:val="365F91" w:themeColor="accent1" w:themeShade="BF"/>
      <w:szCs w:val="28"/>
    </w:rPr>
  </w:style>
  <w:style w:type="paragraph" w:styleId="Rubrik2">
    <w:name w:val="heading 2"/>
    <w:basedOn w:val="Normal"/>
    <w:next w:val="Normal"/>
    <w:link w:val="Rubrik2Char"/>
    <w:uiPriority w:val="9"/>
    <w:unhideWhenUsed/>
    <w:qFormat/>
    <w:rsid w:val="00B52946"/>
    <w:pPr>
      <w:keepNext/>
      <w:keepLines/>
      <w:spacing w:before="200" w:after="0"/>
      <w:outlineLvl w:val="1"/>
    </w:pPr>
    <w:rPr>
      <w:rFonts w:eastAsiaTheme="majorEastAsia"/>
      <w:b/>
      <w:bCs/>
      <w:color w:val="4F81BD" w:themeColor="accent1"/>
      <w:szCs w:val="26"/>
    </w:rPr>
  </w:style>
  <w:style w:type="paragraph" w:styleId="Rubrik3">
    <w:name w:val="heading 3"/>
    <w:basedOn w:val="Normal"/>
    <w:next w:val="Normal"/>
    <w:link w:val="Rubrik3Char"/>
    <w:uiPriority w:val="9"/>
    <w:semiHidden/>
    <w:unhideWhenUsed/>
    <w:qFormat/>
    <w:rsid w:val="00DF01FE"/>
    <w:pPr>
      <w:keepNext/>
      <w:keepLines/>
      <w:spacing w:before="200" w:after="0"/>
      <w:outlineLvl w:val="2"/>
    </w:pPr>
    <w:rPr>
      <w:rFonts w:asciiTheme="majorHAnsi" w:eastAsiaTheme="majorEastAsia" w:hAnsiTheme="majorHAnsi"/>
      <w:b/>
      <w:bCs/>
      <w:color w:val="4F81BD" w:themeColor="accent1"/>
    </w:rPr>
  </w:style>
  <w:style w:type="paragraph" w:styleId="Rubrik4">
    <w:name w:val="heading 4"/>
    <w:basedOn w:val="Normal"/>
    <w:next w:val="Normal"/>
    <w:link w:val="Rubrik4Char"/>
    <w:uiPriority w:val="9"/>
    <w:semiHidden/>
    <w:unhideWhenUsed/>
    <w:qFormat/>
    <w:rsid w:val="00DF01FE"/>
    <w:pPr>
      <w:keepNext/>
      <w:keepLines/>
      <w:spacing w:before="200" w:after="0"/>
      <w:outlineLvl w:val="3"/>
    </w:pPr>
    <w:rPr>
      <w:rFonts w:asciiTheme="majorHAnsi" w:eastAsiaTheme="majorEastAsia" w:hAnsiTheme="majorHAnsi"/>
      <w:b/>
      <w:bCs/>
      <w:i/>
      <w:iCs/>
      <w:color w:val="4F81BD" w:themeColor="accent1"/>
    </w:rPr>
  </w:style>
  <w:style w:type="paragraph" w:styleId="Rubrik5">
    <w:name w:val="heading 5"/>
    <w:basedOn w:val="Normal"/>
    <w:next w:val="Normal"/>
    <w:link w:val="Rubrik5Char"/>
    <w:uiPriority w:val="9"/>
    <w:semiHidden/>
    <w:unhideWhenUsed/>
    <w:qFormat/>
    <w:rsid w:val="00DF01FE"/>
    <w:pPr>
      <w:keepNext/>
      <w:keepLines/>
      <w:spacing w:before="200" w:after="0"/>
      <w:outlineLvl w:val="4"/>
    </w:pPr>
    <w:rPr>
      <w:rFonts w:asciiTheme="majorHAnsi" w:eastAsiaTheme="majorEastAsia" w:hAnsiTheme="majorHAnsi"/>
      <w:color w:val="243F60" w:themeColor="accent1" w:themeShade="7F"/>
    </w:rPr>
  </w:style>
  <w:style w:type="paragraph" w:styleId="Rubrik6">
    <w:name w:val="heading 6"/>
    <w:basedOn w:val="Normal"/>
    <w:next w:val="Normal"/>
    <w:link w:val="Rubrik6Char"/>
    <w:uiPriority w:val="9"/>
    <w:semiHidden/>
    <w:unhideWhenUsed/>
    <w:qFormat/>
    <w:rsid w:val="00DF01FE"/>
    <w:pPr>
      <w:keepNext/>
      <w:keepLines/>
      <w:spacing w:before="200" w:after="0"/>
      <w:outlineLvl w:val="5"/>
    </w:pPr>
    <w:rPr>
      <w:rFonts w:asciiTheme="majorHAnsi" w:eastAsiaTheme="majorEastAsia" w:hAnsiTheme="majorHAnsi"/>
      <w:i/>
      <w:iCs/>
      <w:color w:val="243F60" w:themeColor="accent1" w:themeShade="7F"/>
    </w:rPr>
  </w:style>
  <w:style w:type="paragraph" w:styleId="Rubrik7">
    <w:name w:val="heading 7"/>
    <w:basedOn w:val="Normal"/>
    <w:next w:val="Normal"/>
    <w:link w:val="Rubrik7Char"/>
    <w:uiPriority w:val="9"/>
    <w:semiHidden/>
    <w:unhideWhenUsed/>
    <w:qFormat/>
    <w:rsid w:val="00DF01FE"/>
    <w:pPr>
      <w:keepNext/>
      <w:keepLines/>
      <w:spacing w:before="200" w:after="0"/>
      <w:outlineLvl w:val="6"/>
    </w:pPr>
    <w:rPr>
      <w:rFonts w:asciiTheme="majorHAnsi" w:eastAsiaTheme="majorEastAsia" w:hAnsiTheme="majorHAnsi"/>
      <w:i/>
      <w:iCs/>
      <w:color w:val="404040" w:themeColor="text1" w:themeTint="BF"/>
    </w:rPr>
  </w:style>
  <w:style w:type="paragraph" w:styleId="Rubrik8">
    <w:name w:val="heading 8"/>
    <w:basedOn w:val="Normal"/>
    <w:next w:val="Normal"/>
    <w:link w:val="Rubrik8Char"/>
    <w:uiPriority w:val="9"/>
    <w:semiHidden/>
    <w:unhideWhenUsed/>
    <w:qFormat/>
    <w:rsid w:val="00DF01FE"/>
    <w:pPr>
      <w:keepNext/>
      <w:keepLines/>
      <w:spacing w:before="200" w:after="0"/>
      <w:outlineLvl w:val="7"/>
    </w:pPr>
    <w:rPr>
      <w:rFonts w:asciiTheme="majorHAnsi" w:eastAsiaTheme="majorEastAsia" w:hAnsiTheme="majorHAnsi"/>
      <w:color w:val="404040" w:themeColor="text1" w:themeTint="BF"/>
      <w:sz w:val="20"/>
      <w:szCs w:val="20"/>
    </w:rPr>
  </w:style>
  <w:style w:type="paragraph" w:styleId="Rubrik9">
    <w:name w:val="heading 9"/>
    <w:basedOn w:val="Normal"/>
    <w:next w:val="Normal"/>
    <w:link w:val="Rubrik9Char"/>
    <w:uiPriority w:val="9"/>
    <w:semiHidden/>
    <w:unhideWhenUsed/>
    <w:qFormat/>
    <w:rsid w:val="00DF01FE"/>
    <w:pPr>
      <w:keepNext/>
      <w:keepLines/>
      <w:spacing w:before="200" w:after="0"/>
      <w:outlineLvl w:val="8"/>
    </w:pPr>
    <w:rPr>
      <w:rFonts w:asciiTheme="majorHAnsi" w:eastAsiaTheme="majorEastAsia" w:hAnsiTheme="majorHAns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B52946"/>
    <w:rPr>
      <w:rFonts w:ascii="Arial" w:eastAsiaTheme="majorEastAsia" w:hAnsi="Arial" w:cs="Times New Roman"/>
      <w:b/>
      <w:bCs/>
      <w:color w:val="365F91" w:themeColor="accent1" w:themeShade="BF"/>
      <w:sz w:val="24"/>
      <w:szCs w:val="28"/>
    </w:rPr>
  </w:style>
  <w:style w:type="character" w:customStyle="1" w:styleId="Rubrik2Char">
    <w:name w:val="Rubrik 2 Char"/>
    <w:basedOn w:val="Standardstycketeckensnitt"/>
    <w:link w:val="Rubrik2"/>
    <w:uiPriority w:val="9"/>
    <w:locked/>
    <w:rsid w:val="00B52946"/>
    <w:rPr>
      <w:rFonts w:ascii="Arial" w:eastAsiaTheme="majorEastAsia" w:hAnsi="Arial" w:cs="Times New Roman"/>
      <w:b/>
      <w:bCs/>
      <w:color w:val="4F81BD" w:themeColor="accent1"/>
      <w:sz w:val="26"/>
      <w:szCs w:val="26"/>
    </w:rPr>
  </w:style>
  <w:style w:type="character" w:customStyle="1" w:styleId="Rubrik3Char">
    <w:name w:val="Rubrik 3 Char"/>
    <w:basedOn w:val="Standardstycketeckensnitt"/>
    <w:link w:val="Rubrik3"/>
    <w:uiPriority w:val="9"/>
    <w:semiHidden/>
    <w:locked/>
    <w:rsid w:val="00DF01FE"/>
    <w:rPr>
      <w:rFonts w:asciiTheme="majorHAnsi" w:eastAsiaTheme="majorEastAsia" w:hAnsiTheme="majorHAnsi" w:cs="Times New Roman"/>
      <w:b/>
      <w:bCs/>
      <w:color w:val="4F81BD" w:themeColor="accent1"/>
      <w:sz w:val="24"/>
    </w:rPr>
  </w:style>
  <w:style w:type="character" w:customStyle="1" w:styleId="Rubrik4Char">
    <w:name w:val="Rubrik 4 Char"/>
    <w:basedOn w:val="Standardstycketeckensnitt"/>
    <w:link w:val="Rubrik4"/>
    <w:uiPriority w:val="9"/>
    <w:semiHidden/>
    <w:locked/>
    <w:rsid w:val="00DF01FE"/>
    <w:rPr>
      <w:rFonts w:asciiTheme="majorHAnsi" w:eastAsiaTheme="majorEastAsia" w:hAnsiTheme="majorHAnsi" w:cs="Times New Roman"/>
      <w:b/>
      <w:bCs/>
      <w:i/>
      <w:iCs/>
      <w:color w:val="4F81BD" w:themeColor="accent1"/>
      <w:sz w:val="24"/>
    </w:rPr>
  </w:style>
  <w:style w:type="character" w:customStyle="1" w:styleId="Rubrik5Char">
    <w:name w:val="Rubrik 5 Char"/>
    <w:basedOn w:val="Standardstycketeckensnitt"/>
    <w:link w:val="Rubrik5"/>
    <w:uiPriority w:val="9"/>
    <w:semiHidden/>
    <w:locked/>
    <w:rsid w:val="00DF01FE"/>
    <w:rPr>
      <w:rFonts w:asciiTheme="majorHAnsi" w:eastAsiaTheme="majorEastAsia" w:hAnsiTheme="majorHAnsi" w:cs="Times New Roman"/>
      <w:color w:val="243F60" w:themeColor="accent1" w:themeShade="7F"/>
      <w:sz w:val="24"/>
    </w:rPr>
  </w:style>
  <w:style w:type="character" w:customStyle="1" w:styleId="Rubrik6Char">
    <w:name w:val="Rubrik 6 Char"/>
    <w:basedOn w:val="Standardstycketeckensnitt"/>
    <w:link w:val="Rubrik6"/>
    <w:uiPriority w:val="9"/>
    <w:semiHidden/>
    <w:locked/>
    <w:rsid w:val="00DF01FE"/>
    <w:rPr>
      <w:rFonts w:asciiTheme="majorHAnsi" w:eastAsiaTheme="majorEastAsia" w:hAnsiTheme="majorHAnsi" w:cs="Times New Roman"/>
      <w:i/>
      <w:iCs/>
      <w:color w:val="243F60" w:themeColor="accent1" w:themeShade="7F"/>
      <w:sz w:val="24"/>
    </w:rPr>
  </w:style>
  <w:style w:type="character" w:customStyle="1" w:styleId="Rubrik7Char">
    <w:name w:val="Rubrik 7 Char"/>
    <w:basedOn w:val="Standardstycketeckensnitt"/>
    <w:link w:val="Rubrik7"/>
    <w:uiPriority w:val="9"/>
    <w:semiHidden/>
    <w:locked/>
    <w:rsid w:val="00DF01FE"/>
    <w:rPr>
      <w:rFonts w:asciiTheme="majorHAnsi" w:eastAsiaTheme="majorEastAsia" w:hAnsiTheme="majorHAnsi" w:cs="Times New Roman"/>
      <w:i/>
      <w:iCs/>
      <w:color w:val="404040" w:themeColor="text1" w:themeTint="BF"/>
      <w:sz w:val="24"/>
    </w:rPr>
  </w:style>
  <w:style w:type="character" w:customStyle="1" w:styleId="Rubrik8Char">
    <w:name w:val="Rubrik 8 Char"/>
    <w:basedOn w:val="Standardstycketeckensnitt"/>
    <w:link w:val="Rubrik8"/>
    <w:uiPriority w:val="9"/>
    <w:semiHidden/>
    <w:locked/>
    <w:rsid w:val="00DF01FE"/>
    <w:rPr>
      <w:rFonts w:asciiTheme="majorHAnsi" w:eastAsiaTheme="majorEastAsia" w:hAnsiTheme="majorHAnsi" w:cs="Times New Roman"/>
      <w:color w:val="404040" w:themeColor="text1" w:themeTint="BF"/>
      <w:sz w:val="20"/>
      <w:szCs w:val="20"/>
    </w:rPr>
  </w:style>
  <w:style w:type="character" w:customStyle="1" w:styleId="Rubrik9Char">
    <w:name w:val="Rubrik 9 Char"/>
    <w:basedOn w:val="Standardstycketeckensnitt"/>
    <w:link w:val="Rubrik9"/>
    <w:uiPriority w:val="9"/>
    <w:semiHidden/>
    <w:locked/>
    <w:rsid w:val="00DF01FE"/>
    <w:rPr>
      <w:rFonts w:asciiTheme="majorHAnsi" w:eastAsiaTheme="majorEastAsia" w:hAnsiTheme="majorHAnsi" w:cs="Times New Roman"/>
      <w:i/>
      <w:iCs/>
      <w:color w:val="404040" w:themeColor="text1" w:themeTint="BF"/>
      <w:sz w:val="20"/>
      <w:szCs w:val="20"/>
    </w:rPr>
  </w:style>
  <w:style w:type="paragraph" w:styleId="Liststycke">
    <w:name w:val="List Paragraph"/>
    <w:basedOn w:val="Normal"/>
    <w:uiPriority w:val="34"/>
    <w:qFormat/>
    <w:rsid w:val="001F38A2"/>
    <w:pPr>
      <w:ind w:left="720"/>
      <w:contextualSpacing/>
    </w:pPr>
  </w:style>
  <w:style w:type="paragraph" w:styleId="Rubrik">
    <w:name w:val="Title"/>
    <w:basedOn w:val="Normal"/>
    <w:next w:val="Normal"/>
    <w:link w:val="RubrikChar"/>
    <w:uiPriority w:val="10"/>
    <w:qFormat/>
    <w:rsid w:val="002F4508"/>
    <w:pPr>
      <w:spacing w:after="300" w:line="240" w:lineRule="auto"/>
      <w:contextualSpacing/>
    </w:pPr>
    <w:rPr>
      <w:rFonts w:eastAsiaTheme="majorEastAsia"/>
      <w:color w:val="17365D" w:themeColor="text2" w:themeShade="BF"/>
      <w:spacing w:val="5"/>
      <w:kern w:val="28"/>
      <w:szCs w:val="52"/>
    </w:rPr>
  </w:style>
  <w:style w:type="character" w:customStyle="1" w:styleId="RubrikChar">
    <w:name w:val="Rubrik Char"/>
    <w:basedOn w:val="Standardstycketeckensnitt"/>
    <w:link w:val="Rubrik"/>
    <w:uiPriority w:val="10"/>
    <w:locked/>
    <w:rsid w:val="002F4508"/>
    <w:rPr>
      <w:rFonts w:ascii="Arial" w:eastAsiaTheme="majorEastAsia" w:hAnsi="Arial" w:cs="Times New Roman"/>
      <w:color w:val="17365D" w:themeColor="text2" w:themeShade="BF"/>
      <w:spacing w:val="5"/>
      <w:kern w:val="28"/>
      <w:sz w:val="52"/>
      <w:szCs w:val="52"/>
    </w:rPr>
  </w:style>
  <w:style w:type="paragraph" w:styleId="Ballongtext">
    <w:name w:val="Balloon Text"/>
    <w:basedOn w:val="Normal"/>
    <w:link w:val="BallongtextChar"/>
    <w:uiPriority w:val="99"/>
    <w:semiHidden/>
    <w:unhideWhenUsed/>
    <w:rsid w:val="006A421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6A4219"/>
    <w:rPr>
      <w:rFonts w:ascii="Tahoma" w:hAnsi="Tahoma" w:cs="Tahoma"/>
      <w:sz w:val="16"/>
      <w:szCs w:val="16"/>
    </w:rPr>
  </w:style>
  <w:style w:type="paragraph" w:styleId="Beskrivning">
    <w:name w:val="caption"/>
    <w:basedOn w:val="Normal"/>
    <w:next w:val="Normal"/>
    <w:uiPriority w:val="35"/>
    <w:unhideWhenUsed/>
    <w:qFormat/>
    <w:rsid w:val="006A4219"/>
    <w:pPr>
      <w:spacing w:line="240" w:lineRule="auto"/>
    </w:pPr>
    <w:rPr>
      <w:b/>
      <w:bCs/>
      <w:color w:val="4F81BD" w:themeColor="accent1"/>
      <w:sz w:val="18"/>
      <w:szCs w:val="18"/>
    </w:rPr>
  </w:style>
  <w:style w:type="table" w:styleId="Tabellrutnt">
    <w:name w:val="Table Grid"/>
    <w:basedOn w:val="Normaltabell"/>
    <w:uiPriority w:val="59"/>
    <w:rsid w:val="007F5F7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skuggning-dekorfrg1">
    <w:name w:val="Light Shading Accent 1"/>
    <w:basedOn w:val="Normaltabell"/>
    <w:uiPriority w:val="60"/>
    <w:rsid w:val="007F5F7B"/>
    <w:pPr>
      <w:spacing w:after="0" w:line="240" w:lineRule="auto"/>
    </w:pPr>
    <w:rPr>
      <w:rFonts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paragraph" w:styleId="Fotnotstext">
    <w:name w:val="footnote text"/>
    <w:basedOn w:val="Normal"/>
    <w:link w:val="FotnotstextChar"/>
    <w:uiPriority w:val="99"/>
    <w:unhideWhenUsed/>
    <w:rsid w:val="00640A86"/>
    <w:pPr>
      <w:spacing w:after="0" w:line="240" w:lineRule="auto"/>
    </w:pPr>
    <w:rPr>
      <w:sz w:val="20"/>
      <w:szCs w:val="20"/>
    </w:rPr>
  </w:style>
  <w:style w:type="character" w:customStyle="1" w:styleId="FotnotstextChar">
    <w:name w:val="Fotnotstext Char"/>
    <w:basedOn w:val="Standardstycketeckensnitt"/>
    <w:link w:val="Fotnotstext"/>
    <w:uiPriority w:val="99"/>
    <w:locked/>
    <w:rsid w:val="00640A86"/>
    <w:rPr>
      <w:rFonts w:cs="Times New Roman"/>
      <w:sz w:val="20"/>
      <w:szCs w:val="20"/>
    </w:rPr>
  </w:style>
  <w:style w:type="character" w:styleId="Fotnotsreferens">
    <w:name w:val="footnote reference"/>
    <w:basedOn w:val="Standardstycketeckensnitt"/>
    <w:uiPriority w:val="99"/>
    <w:semiHidden/>
    <w:unhideWhenUsed/>
    <w:rsid w:val="00640A86"/>
    <w:rPr>
      <w:rFonts w:cs="Times New Roman"/>
      <w:vertAlign w:val="superscript"/>
    </w:rPr>
  </w:style>
  <w:style w:type="paragraph" w:styleId="Innehllsfrteckningsrubrik">
    <w:name w:val="TOC Heading"/>
    <w:basedOn w:val="Rubrik1"/>
    <w:next w:val="Normal"/>
    <w:uiPriority w:val="39"/>
    <w:unhideWhenUsed/>
    <w:qFormat/>
    <w:rsid w:val="00D45735"/>
    <w:pPr>
      <w:tabs>
        <w:tab w:val="clear" w:pos="926"/>
      </w:tabs>
      <w:spacing w:line="276" w:lineRule="auto"/>
      <w:ind w:left="0" w:firstLine="0"/>
      <w:outlineLvl w:val="9"/>
    </w:pPr>
    <w:rPr>
      <w:sz w:val="28"/>
      <w:lang w:eastAsia="de-DE"/>
    </w:rPr>
  </w:style>
  <w:style w:type="paragraph" w:styleId="Innehll1">
    <w:name w:val="toc 1"/>
    <w:basedOn w:val="Normal"/>
    <w:next w:val="Normal"/>
    <w:autoRedefine/>
    <w:uiPriority w:val="39"/>
    <w:unhideWhenUsed/>
    <w:rsid w:val="00D45735"/>
    <w:pPr>
      <w:spacing w:after="100"/>
    </w:pPr>
  </w:style>
  <w:style w:type="character" w:styleId="Hyperlnk">
    <w:name w:val="Hyperlink"/>
    <w:basedOn w:val="Standardstycketeckensnitt"/>
    <w:uiPriority w:val="99"/>
    <w:unhideWhenUsed/>
    <w:rsid w:val="00D45735"/>
    <w:rPr>
      <w:rFonts w:cs="Times New Roman"/>
      <w:color w:val="0000FF" w:themeColor="hyperlink"/>
      <w:u w:val="single"/>
    </w:rPr>
  </w:style>
  <w:style w:type="paragraph" w:customStyle="1" w:styleId="CitaviBibliographyEntry">
    <w:name w:val="Citavi Bibliography Entry"/>
    <w:basedOn w:val="Normal"/>
    <w:link w:val="CitaviBibliographyEntryZchn"/>
    <w:rsid w:val="00FD3E4D"/>
    <w:pPr>
      <w:spacing w:after="120"/>
    </w:pPr>
  </w:style>
  <w:style w:type="character" w:customStyle="1" w:styleId="CitaviBibliographyEntryZchn">
    <w:name w:val="Citavi Bibliography Entry Zchn"/>
    <w:basedOn w:val="Standardstycketeckensnitt"/>
    <w:link w:val="CitaviBibliographyEntry"/>
    <w:locked/>
    <w:rsid w:val="00FD3E4D"/>
    <w:rPr>
      <w:rFonts w:ascii="Arial" w:hAnsi="Arial" w:cs="Times New Roman"/>
      <w:sz w:val="24"/>
    </w:rPr>
  </w:style>
  <w:style w:type="paragraph" w:customStyle="1" w:styleId="CitaviBibliographyHeading">
    <w:name w:val="Citavi Bibliography Heading"/>
    <w:basedOn w:val="Rubrik1"/>
    <w:link w:val="CitaviBibliographyHeadingZchn"/>
    <w:rsid w:val="00FD3E4D"/>
    <w:pPr>
      <w:jc w:val="left"/>
    </w:pPr>
  </w:style>
  <w:style w:type="character" w:customStyle="1" w:styleId="CitaviBibliographyHeadingZchn">
    <w:name w:val="Citavi Bibliography Heading Zchn"/>
    <w:basedOn w:val="Standardstycketeckensnitt"/>
    <w:link w:val="CitaviBibliographyHeading"/>
    <w:locked/>
    <w:rsid w:val="00FD3E4D"/>
    <w:rPr>
      <w:rFonts w:ascii="Arial" w:eastAsiaTheme="majorEastAsia" w:hAnsi="Arial" w:cs="Times New Roman"/>
      <w:b/>
      <w:bCs/>
      <w:color w:val="365F91" w:themeColor="accent1" w:themeShade="BF"/>
      <w:sz w:val="28"/>
      <w:szCs w:val="28"/>
    </w:rPr>
  </w:style>
  <w:style w:type="paragraph" w:styleId="Innehll2">
    <w:name w:val="toc 2"/>
    <w:basedOn w:val="Normal"/>
    <w:next w:val="Normal"/>
    <w:autoRedefine/>
    <w:uiPriority w:val="39"/>
    <w:unhideWhenUsed/>
    <w:rsid w:val="00861BAA"/>
    <w:pPr>
      <w:spacing w:after="100"/>
      <w:ind w:left="220"/>
    </w:pPr>
  </w:style>
  <w:style w:type="paragraph" w:styleId="Sidhuvud">
    <w:name w:val="header"/>
    <w:basedOn w:val="Normal"/>
    <w:link w:val="SidhuvudChar"/>
    <w:uiPriority w:val="99"/>
    <w:unhideWhenUsed/>
    <w:rsid w:val="003B1269"/>
    <w:pPr>
      <w:tabs>
        <w:tab w:val="center" w:pos="4536"/>
        <w:tab w:val="right" w:pos="9072"/>
      </w:tabs>
      <w:spacing w:after="0" w:line="240" w:lineRule="auto"/>
    </w:pPr>
  </w:style>
  <w:style w:type="character" w:customStyle="1" w:styleId="SidhuvudChar">
    <w:name w:val="Sidhuvud Char"/>
    <w:basedOn w:val="Standardstycketeckensnitt"/>
    <w:link w:val="Sidhuvud"/>
    <w:uiPriority w:val="99"/>
    <w:locked/>
    <w:rsid w:val="003B1269"/>
    <w:rPr>
      <w:rFonts w:ascii="Arial" w:hAnsi="Arial" w:cs="Times New Roman"/>
      <w:sz w:val="24"/>
    </w:rPr>
  </w:style>
  <w:style w:type="paragraph" w:styleId="Sidfot">
    <w:name w:val="footer"/>
    <w:basedOn w:val="Normal"/>
    <w:link w:val="SidfotChar"/>
    <w:uiPriority w:val="99"/>
    <w:unhideWhenUsed/>
    <w:rsid w:val="003B1269"/>
    <w:pPr>
      <w:tabs>
        <w:tab w:val="center" w:pos="4536"/>
        <w:tab w:val="right" w:pos="9072"/>
      </w:tabs>
      <w:spacing w:after="0" w:line="240" w:lineRule="auto"/>
    </w:pPr>
  </w:style>
  <w:style w:type="character" w:customStyle="1" w:styleId="SidfotChar">
    <w:name w:val="Sidfot Char"/>
    <w:basedOn w:val="Standardstycketeckensnitt"/>
    <w:link w:val="Sidfot"/>
    <w:uiPriority w:val="99"/>
    <w:locked/>
    <w:rsid w:val="003B1269"/>
    <w:rPr>
      <w:rFonts w:ascii="Arial" w:hAnsi="Arial" w:cs="Times New Roman"/>
      <w:sz w:val="24"/>
    </w:rPr>
  </w:style>
  <w:style w:type="paragraph" w:styleId="Litteraturfrteckning">
    <w:name w:val="Bibliography"/>
    <w:basedOn w:val="Normal"/>
    <w:next w:val="Normal"/>
    <w:uiPriority w:val="37"/>
    <w:semiHidden/>
    <w:unhideWhenUsed/>
    <w:rsid w:val="00DF01FE"/>
  </w:style>
  <w:style w:type="character" w:styleId="Bokenstitel">
    <w:name w:val="Book Title"/>
    <w:basedOn w:val="Standardstycketeckensnitt"/>
    <w:uiPriority w:val="33"/>
    <w:qFormat/>
    <w:rsid w:val="00DF01FE"/>
    <w:rPr>
      <w:rFonts w:cs="Times New Roman"/>
      <w:b/>
      <w:bCs/>
      <w:smallCaps/>
      <w:spacing w:val="5"/>
    </w:rPr>
  </w:style>
  <w:style w:type="character" w:styleId="Starkreferens">
    <w:name w:val="Intense Reference"/>
    <w:basedOn w:val="Standardstycketeckensnitt"/>
    <w:uiPriority w:val="32"/>
    <w:qFormat/>
    <w:rsid w:val="00DF01FE"/>
    <w:rPr>
      <w:rFonts w:cs="Times New Roman"/>
      <w:b/>
      <w:bCs/>
      <w:smallCaps/>
      <w:color w:val="C0504D" w:themeColor="accent2"/>
      <w:spacing w:val="5"/>
      <w:u w:val="single"/>
    </w:rPr>
  </w:style>
  <w:style w:type="character" w:styleId="Diskretreferens">
    <w:name w:val="Subtle Reference"/>
    <w:basedOn w:val="Standardstycketeckensnitt"/>
    <w:uiPriority w:val="31"/>
    <w:qFormat/>
    <w:rsid w:val="00DF01FE"/>
    <w:rPr>
      <w:rFonts w:cs="Times New Roman"/>
      <w:smallCaps/>
      <w:color w:val="C0504D" w:themeColor="accent2"/>
      <w:u w:val="single"/>
    </w:rPr>
  </w:style>
  <w:style w:type="character" w:styleId="Starkbetoning">
    <w:name w:val="Intense Emphasis"/>
    <w:basedOn w:val="Standardstycketeckensnitt"/>
    <w:uiPriority w:val="21"/>
    <w:qFormat/>
    <w:rsid w:val="00DF01FE"/>
    <w:rPr>
      <w:rFonts w:cs="Times New Roman"/>
      <w:b/>
      <w:bCs/>
      <w:i/>
      <w:iCs/>
      <w:color w:val="4F81BD" w:themeColor="accent1"/>
    </w:rPr>
  </w:style>
  <w:style w:type="character" w:styleId="Diskretbetoning">
    <w:name w:val="Subtle Emphasis"/>
    <w:basedOn w:val="Standardstycketeckensnitt"/>
    <w:uiPriority w:val="19"/>
    <w:qFormat/>
    <w:rsid w:val="00DF01FE"/>
    <w:rPr>
      <w:rFonts w:cs="Times New Roman"/>
      <w:i/>
      <w:iCs/>
      <w:color w:val="808080" w:themeColor="text1" w:themeTint="7F"/>
    </w:rPr>
  </w:style>
  <w:style w:type="paragraph" w:styleId="Starktcitat">
    <w:name w:val="Intense Quote"/>
    <w:basedOn w:val="Normal"/>
    <w:next w:val="Normal"/>
    <w:link w:val="StarktcitatChar"/>
    <w:uiPriority w:val="30"/>
    <w:qFormat/>
    <w:rsid w:val="00DF01FE"/>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locked/>
    <w:rsid w:val="00DF01FE"/>
    <w:rPr>
      <w:rFonts w:ascii="Arial" w:hAnsi="Arial" w:cs="Times New Roman"/>
      <w:b/>
      <w:bCs/>
      <w:i/>
      <w:iCs/>
      <w:color w:val="4F81BD" w:themeColor="accent1"/>
      <w:sz w:val="24"/>
    </w:rPr>
  </w:style>
  <w:style w:type="paragraph" w:styleId="Citat">
    <w:name w:val="Quote"/>
    <w:basedOn w:val="Normal"/>
    <w:next w:val="Normal"/>
    <w:link w:val="CitatChar"/>
    <w:uiPriority w:val="29"/>
    <w:qFormat/>
    <w:rsid w:val="006E4467"/>
    <w:pPr>
      <w:spacing w:after="0" w:line="480" w:lineRule="auto"/>
      <w:ind w:left="567"/>
    </w:pPr>
    <w:rPr>
      <w:i/>
      <w:iCs/>
      <w:color w:val="000000" w:themeColor="text1"/>
    </w:rPr>
  </w:style>
  <w:style w:type="character" w:customStyle="1" w:styleId="CitatChar">
    <w:name w:val="Citat Char"/>
    <w:basedOn w:val="Standardstycketeckensnitt"/>
    <w:link w:val="Citat"/>
    <w:uiPriority w:val="29"/>
    <w:locked/>
    <w:rsid w:val="006E4467"/>
    <w:rPr>
      <w:rFonts w:ascii="Arial" w:hAnsi="Arial" w:cs="Times New Roman"/>
      <w:i/>
      <w:iCs/>
      <w:color w:val="000000" w:themeColor="text1"/>
      <w:sz w:val="24"/>
    </w:rPr>
  </w:style>
  <w:style w:type="table" w:styleId="Mellanmrklista1-dekorfrg1">
    <w:name w:val="Medium List 1 Accent 1"/>
    <w:basedOn w:val="Normaltabell"/>
    <w:uiPriority w:val="65"/>
    <w:rsid w:val="00DF01FE"/>
    <w:pPr>
      <w:spacing w:after="0" w:line="240" w:lineRule="auto"/>
    </w:pPr>
    <w:rPr>
      <w:rFonts w:cs="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imes New Roman"/>
      </w:rPr>
      <w:tblPr/>
      <w:tcPr>
        <w:tcBorders>
          <w:top w:val="nil"/>
          <w:bottom w:val="single" w:sz="8" w:space="0" w:color="4F81BD" w:themeColor="accent1"/>
        </w:tcBorders>
      </w:tcPr>
    </w:tblStylePr>
    <w:tblStylePr w:type="lastRow">
      <w:rPr>
        <w:rFonts w:cs="Times New Roman"/>
        <w:b/>
        <w:bCs/>
        <w:color w:val="1F497D" w:themeColor="text2"/>
      </w:rPr>
      <w:tblPr/>
      <w:tcPr>
        <w:tcBorders>
          <w:top w:val="single" w:sz="8" w:space="0" w:color="4F81BD" w:themeColor="accent1"/>
          <w:bottom w:val="single" w:sz="8" w:space="0" w:color="4F81BD" w:themeColor="accent1"/>
        </w:tcBorders>
      </w:tcPr>
    </w:tblStylePr>
    <w:tblStylePr w:type="firstCol">
      <w:rPr>
        <w:rFonts w:cs="Times New Roman"/>
        <w:b/>
        <w:bCs/>
      </w:rPr>
    </w:tblStylePr>
    <w:tblStylePr w:type="lastCol">
      <w:rPr>
        <w:rFonts w:cs="Times New Roman"/>
        <w:b/>
        <w:bCs/>
      </w:rPr>
      <w:tblPr/>
      <w:tcPr>
        <w:tcBorders>
          <w:top w:val="single" w:sz="8" w:space="0" w:color="4F81BD" w:themeColor="accent1"/>
          <w:bottom w:val="single" w:sz="8" w:space="0" w:color="4F81BD" w:themeColor="accent1"/>
        </w:tcBorders>
      </w:tcPr>
    </w:tblStylePr>
    <w:tblStylePr w:type="band1Vert">
      <w:rPr>
        <w:rFonts w:cs="Times New Roman"/>
      </w:rPr>
      <w:tblPr/>
      <w:tcPr>
        <w:shd w:val="clear" w:color="auto" w:fill="D3DFEE" w:themeFill="accent1" w:themeFillTint="3F"/>
      </w:tcPr>
    </w:tblStylePr>
    <w:tblStylePr w:type="band1Horz">
      <w:rPr>
        <w:rFonts w:cs="Times New Roman"/>
      </w:rPr>
      <w:tblPr/>
      <w:tcPr>
        <w:shd w:val="clear" w:color="auto" w:fill="D3DFEE" w:themeFill="accent1" w:themeFillTint="3F"/>
      </w:tcPr>
    </w:tblStylePr>
  </w:style>
  <w:style w:type="table" w:styleId="Mellanmrkskuggning2-dekorfrg1">
    <w:name w:val="Medium Shading 2 Accent 1"/>
    <w:basedOn w:val="Normaltabell"/>
    <w:uiPriority w:val="64"/>
    <w:rsid w:val="00DF01FE"/>
    <w:pPr>
      <w:spacing w:after="0" w:line="240" w:lineRule="auto"/>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rFonts w:cs="Times New Roman"/>
        <w:b/>
        <w:bCs/>
        <w:color w:val="FFFFFF" w:themeColor="background1"/>
      </w:rPr>
      <w:tblPr/>
      <w:tcPr>
        <w:tcBorders>
          <w:left w:val="nil"/>
          <w:right w:val="nil"/>
          <w:insideH w:val="nil"/>
          <w:insideV w:val="nil"/>
        </w:tcBorders>
        <w:shd w:val="clear" w:color="auto" w:fill="4F81BD" w:themeFill="accent1"/>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1-dekorfrg1">
    <w:name w:val="Medium Shading 1 Accent 1"/>
    <w:basedOn w:val="Normaltabell"/>
    <w:uiPriority w:val="63"/>
    <w:rsid w:val="00DF01FE"/>
    <w:pPr>
      <w:spacing w:after="0" w:line="240" w:lineRule="auto"/>
    </w:pPr>
    <w:rPr>
      <w:rFonts w:cs="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pPr>
      <w:rPr>
        <w:rFonts w:cs="Times New Roman"/>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pPr>
      <w:rPr>
        <w:rFonts w:cs="Times New Roman"/>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hemeFill="accent1" w:themeFillTint="3F"/>
      </w:tcPr>
    </w:tblStylePr>
    <w:tblStylePr w:type="band1Horz">
      <w:rPr>
        <w:rFonts w:cs="Times New Roman"/>
      </w:rPr>
      <w:tblPr/>
      <w:tcPr>
        <w:tcBorders>
          <w:insideH w:val="nil"/>
          <w:insideV w:val="nil"/>
        </w:tcBorders>
        <w:shd w:val="clear" w:color="auto" w:fill="D3DFEE" w:themeFill="accent1" w:themeFillTint="3F"/>
      </w:tcPr>
    </w:tblStylePr>
    <w:tblStylePr w:type="band2Horz">
      <w:rPr>
        <w:rFonts w:cs="Times New Roman"/>
      </w:rPr>
      <w:tblPr/>
      <w:tcPr>
        <w:tcBorders>
          <w:insideH w:val="nil"/>
          <w:insideV w:val="nil"/>
        </w:tcBorders>
      </w:tcPr>
    </w:tblStylePr>
  </w:style>
  <w:style w:type="table" w:styleId="Ljustrutnt-dekorfrg1">
    <w:name w:val="Light Grid Accent 1"/>
    <w:basedOn w:val="Normaltabell"/>
    <w:uiPriority w:val="62"/>
    <w:rsid w:val="00DF01FE"/>
    <w:pPr>
      <w:spacing w:after="0" w:line="240" w:lineRule="auto"/>
    </w:pPr>
    <w:rPr>
      <w:rFonts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pPr>
      <w:rPr>
        <w:rFonts w:asciiTheme="majorHAnsi" w:eastAsiaTheme="majorEastAsia" w:hAnsiTheme="majorHAnsi" w:cs="Times New Roman"/>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pPr>
      <w:rPr>
        <w:rFonts w:asciiTheme="majorHAnsi" w:eastAsiaTheme="majorEastAsia" w:hAnsiTheme="majorHAnsi"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lista-dekorfrg1">
    <w:name w:val="Light List Accent 1"/>
    <w:basedOn w:val="Normaltabell"/>
    <w:uiPriority w:val="61"/>
    <w:rsid w:val="00DF01FE"/>
    <w:pPr>
      <w:spacing w:after="0" w:line="240" w:lineRule="auto"/>
    </w:pPr>
    <w:rPr>
      <w:rFonts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Frgatrutnt">
    <w:name w:val="Colorful Grid"/>
    <w:basedOn w:val="Normaltabell"/>
    <w:uiPriority w:val="73"/>
    <w:rsid w:val="00DF01FE"/>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rFonts w:cs="Times New Roman"/>
        <w:b/>
        <w:bCs/>
      </w:rPr>
      <w:tblPr/>
      <w:tcPr>
        <w:shd w:val="clear" w:color="auto" w:fill="999999" w:themeFill="text1" w:themeFillTint="66"/>
      </w:tcPr>
    </w:tblStylePr>
    <w:tblStylePr w:type="lastRow">
      <w:rPr>
        <w:rFonts w:cs="Times New Roman"/>
        <w:b/>
        <w:bCs/>
        <w:color w:val="000000" w:themeColor="text1"/>
      </w:rPr>
      <w:tblPr/>
      <w:tcPr>
        <w:shd w:val="clear" w:color="auto" w:fill="999999" w:themeFill="text1" w:themeFillTint="66"/>
      </w:tcPr>
    </w:tblStylePr>
    <w:tblStylePr w:type="firstCol">
      <w:rPr>
        <w:rFonts w:cs="Times New Roman"/>
        <w:color w:val="FFFFFF" w:themeColor="background1"/>
      </w:rPr>
      <w:tblPr/>
      <w:tcPr>
        <w:shd w:val="clear" w:color="auto" w:fill="000000" w:themeFill="text1" w:themeFillShade="BF"/>
      </w:tcPr>
    </w:tblStylePr>
    <w:tblStylePr w:type="lastCol">
      <w:rPr>
        <w:rFonts w:cs="Times New Roman"/>
        <w:color w:val="FFFFFF" w:themeColor="background1"/>
      </w:rPr>
      <w:tblPr/>
      <w:tcPr>
        <w:shd w:val="clear" w:color="auto" w:fill="000000" w:themeFill="text1" w:themeFillShade="BF"/>
      </w:tcPr>
    </w:tblStylePr>
    <w:tblStylePr w:type="band1Vert">
      <w:rPr>
        <w:rFonts w:cs="Times New Roman"/>
      </w:rPr>
      <w:tblPr/>
      <w:tcPr>
        <w:shd w:val="clear" w:color="auto" w:fill="808080" w:themeFill="text1" w:themeFillTint="7F"/>
      </w:tcPr>
    </w:tblStylePr>
    <w:tblStylePr w:type="band1Horz">
      <w:rPr>
        <w:rFonts w:cs="Times New Roman"/>
      </w:rPr>
      <w:tblPr/>
      <w:tcPr>
        <w:shd w:val="clear" w:color="auto" w:fill="808080" w:themeFill="text1" w:themeFillTint="7F"/>
      </w:tcPr>
    </w:tblStylePr>
  </w:style>
  <w:style w:type="table" w:styleId="Frgadlista">
    <w:name w:val="Colorful List"/>
    <w:basedOn w:val="Normaltabell"/>
    <w:uiPriority w:val="72"/>
    <w:rsid w:val="00DF01FE"/>
    <w:pPr>
      <w:spacing w:after="0" w:line="240" w:lineRule="auto"/>
    </w:pPr>
    <w:rPr>
      <w:rFonts w:cs="Times New Roman"/>
      <w:color w:val="000000" w:themeColor="text1"/>
    </w:rPr>
    <w:tblPr>
      <w:tblStyleRowBandSize w:val="1"/>
      <w:tblStyleColBandSize w:val="1"/>
    </w:tblPr>
    <w:tcPr>
      <w:shd w:val="clear" w:color="auto" w:fill="E6E6E6" w:themeFill="text1" w:themeFillTint="19"/>
    </w:tcPr>
    <w:tblStylePr w:type="firstRow">
      <w:rPr>
        <w:rFonts w:cs="Times New Roman"/>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rFonts w:cs="Times New Roman"/>
        <w:b/>
        <w:bCs/>
        <w:color w:val="9E3A38"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hemeFill="text1" w:themeFillTint="3F"/>
      </w:tcPr>
    </w:tblStylePr>
    <w:tblStylePr w:type="band1Horz">
      <w:rPr>
        <w:rFonts w:cs="Times New Roman"/>
      </w:rPr>
      <w:tblPr/>
      <w:tcPr>
        <w:shd w:val="clear" w:color="auto" w:fill="CCCCCC" w:themeFill="text1" w:themeFillTint="33"/>
      </w:tcPr>
    </w:tblStylePr>
  </w:style>
  <w:style w:type="table" w:styleId="Frgadskuggning">
    <w:name w:val="Colorful Shading"/>
    <w:basedOn w:val="Normaltabell"/>
    <w:uiPriority w:val="71"/>
    <w:rsid w:val="00DF01FE"/>
    <w:pPr>
      <w:spacing w:after="0" w:line="240" w:lineRule="auto"/>
    </w:pPr>
    <w:rPr>
      <w:rFonts w:cs="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rFonts w:cs="Times New Roman"/>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000000" w:themeFill="text1" w:themeFillShade="99"/>
      </w:tcPr>
    </w:tblStylePr>
    <w:tblStylePr w:type="firstCol">
      <w:rPr>
        <w:rFonts w:cs="Times New Roman"/>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rPr>
        <w:rFonts w:cs="Times New Roman"/>
      </w:rPr>
      <w:tblPr/>
      <w:tcPr>
        <w:shd w:val="clear" w:color="auto" w:fill="999999" w:themeFill="text1" w:themeFillTint="66"/>
      </w:tcPr>
    </w:tblStylePr>
    <w:tblStylePr w:type="band1Horz">
      <w:rPr>
        <w:rFonts w:cs="Times New Roman"/>
      </w:rPr>
      <w:tblPr/>
      <w:tcPr>
        <w:shd w:val="clear" w:color="auto" w:fill="808080" w:themeFill="text1"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Mrklista">
    <w:name w:val="Dark List"/>
    <w:basedOn w:val="Normaltabell"/>
    <w:uiPriority w:val="70"/>
    <w:rsid w:val="00DF01FE"/>
    <w:pPr>
      <w:spacing w:after="0" w:line="240" w:lineRule="auto"/>
    </w:pPr>
    <w:rPr>
      <w:rFonts w:cs="Times New Roman"/>
      <w:color w:val="FFFFFF" w:themeColor="background1"/>
    </w:rPr>
    <w:tblPr>
      <w:tblStyleRowBandSize w:val="1"/>
      <w:tblStyleColBandSize w:val="1"/>
    </w:tblPr>
    <w:tcPr>
      <w:shd w:val="clear" w:color="auto" w:fill="000000" w:themeFill="text1"/>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rPr>
        <w:rFonts w:cs="Times New Roman"/>
      </w:rPr>
      <w:tblPr/>
      <w:tcPr>
        <w:tcBorders>
          <w:top w:val="nil"/>
          <w:left w:val="nil"/>
          <w:bottom w:val="nil"/>
          <w:right w:val="nil"/>
          <w:insideH w:val="nil"/>
          <w:insideV w:val="nil"/>
        </w:tcBorders>
        <w:shd w:val="clear" w:color="auto" w:fill="000000" w:themeFill="text1" w:themeFillShade="BF"/>
      </w:tcPr>
    </w:tblStylePr>
    <w:tblStylePr w:type="band1Horz">
      <w:rPr>
        <w:rFonts w:cs="Times New Roman"/>
      </w:rPr>
      <w:tblPr/>
      <w:tcPr>
        <w:tcBorders>
          <w:top w:val="nil"/>
          <w:left w:val="nil"/>
          <w:bottom w:val="nil"/>
          <w:right w:val="nil"/>
          <w:insideH w:val="nil"/>
          <w:insideV w:val="nil"/>
        </w:tcBorders>
        <w:shd w:val="clear" w:color="auto" w:fill="000000" w:themeFill="text1" w:themeFillShade="BF"/>
      </w:tcPr>
    </w:tblStylePr>
  </w:style>
  <w:style w:type="table" w:styleId="Mellanmrktrutnt3">
    <w:name w:val="Medium Grid 3"/>
    <w:basedOn w:val="Normaltabell"/>
    <w:uiPriority w:val="69"/>
    <w:rsid w:val="00DF01FE"/>
    <w:pPr>
      <w:spacing w:after="0" w:line="240" w:lineRule="auto"/>
    </w:pPr>
    <w:rPr>
      <w:rFonts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2">
    <w:name w:val="Medium Grid 2"/>
    <w:basedOn w:val="Normaltabell"/>
    <w:uiPriority w:val="68"/>
    <w:rsid w:val="00DF01FE"/>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rFonts w:cs="Times New Roman"/>
        <w:b/>
        <w:bCs/>
        <w:color w:val="000000" w:themeColor="text1"/>
      </w:rPr>
      <w:tblPr/>
      <w:tcPr>
        <w:shd w:val="clear" w:color="auto" w:fill="E6E6E6" w:themeFill="tex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rPr>
        <w:rFonts w:cs="Times New Roman"/>
      </w:rPr>
      <w:tblPr/>
      <w:tcPr>
        <w:shd w:val="clear" w:color="auto" w:fill="808080" w:themeFill="text1" w:themeFillTint="7F"/>
      </w:tcPr>
    </w:tblStylePr>
    <w:tblStylePr w:type="band1Horz">
      <w:rPr>
        <w:rFonts w:cs="Times New Roman"/>
      </w:rPr>
      <w:tblPr/>
      <w:tcPr>
        <w:tcBorders>
          <w:insideH w:val="single" w:sz="6" w:space="0" w:color="000000" w:themeColor="text1"/>
          <w:insideV w:val="single" w:sz="6" w:space="0" w:color="000000" w:themeColor="text1"/>
        </w:tcBorders>
        <w:shd w:val="clear" w:color="auto" w:fill="808080" w:themeFill="text1" w:themeFillTint="7F"/>
      </w:tcPr>
    </w:tblStylePr>
    <w:tblStylePr w:type="nwCell">
      <w:rPr>
        <w:rFonts w:cs="Times New Roman"/>
      </w:rPr>
      <w:tblPr/>
      <w:tcPr>
        <w:shd w:val="clear" w:color="auto" w:fill="FFFFFF" w:themeFill="background1"/>
      </w:tcPr>
    </w:tblStylePr>
  </w:style>
  <w:style w:type="table" w:styleId="Mellanmrktrutnt1">
    <w:name w:val="Medium Grid 1"/>
    <w:basedOn w:val="Normaltabell"/>
    <w:uiPriority w:val="67"/>
    <w:rsid w:val="00DF01FE"/>
    <w:pPr>
      <w:spacing w:after="0" w:line="240" w:lineRule="auto"/>
    </w:pPr>
    <w:rPr>
      <w:rFonts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rFonts w:cs="Times New Roman"/>
        <w:b/>
        <w:bCs/>
      </w:rPr>
    </w:tblStylePr>
    <w:tblStylePr w:type="lastRow">
      <w:rPr>
        <w:rFonts w:cs="Times New Roman"/>
        <w:b/>
        <w:bCs/>
      </w:rPr>
      <w:tblPr/>
      <w:tcPr>
        <w:tcBorders>
          <w:top w:val="single" w:sz="18" w:space="0" w:color="404040" w:themeColor="text1"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hemeFill="text1" w:themeFillTint="7F"/>
      </w:tcPr>
    </w:tblStylePr>
    <w:tblStylePr w:type="band1Horz">
      <w:rPr>
        <w:rFonts w:cs="Times New Roman"/>
      </w:rPr>
      <w:tblPr/>
      <w:tcPr>
        <w:shd w:val="clear" w:color="auto" w:fill="808080" w:themeFill="text1" w:themeFillTint="7F"/>
      </w:tcPr>
    </w:tblStylePr>
  </w:style>
  <w:style w:type="table" w:styleId="Mellanmrklista2">
    <w:name w:val="Medium List 2"/>
    <w:basedOn w:val="Normaltabell"/>
    <w:uiPriority w:val="66"/>
    <w:rsid w:val="00DF01FE"/>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rFonts w:cs="Times New Roman"/>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rPr>
        <w:rFonts w:cs="Times New Roman"/>
      </w:rPr>
      <w:tblPr/>
      <w:tcPr>
        <w:tcBorders>
          <w:top w:val="single" w:sz="8" w:space="0" w:color="000000" w:themeColor="text1"/>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000000" w:themeColor="text1"/>
          <w:insideH w:val="nil"/>
          <w:insideV w:val="nil"/>
        </w:tcBorders>
        <w:shd w:val="clear" w:color="auto" w:fill="FFFFFF" w:themeFill="background1"/>
      </w:tcPr>
    </w:tblStylePr>
    <w:tblStylePr w:type="lastCol">
      <w:rPr>
        <w:rFonts w:cs="Times New Roman"/>
      </w:rPr>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top w:val="nil"/>
          <w:bottom w:val="nil"/>
          <w:insideH w:val="nil"/>
          <w:insideV w:val="nil"/>
        </w:tcBorders>
        <w:shd w:val="clear" w:color="auto" w:fill="C0C0C0" w:themeFill="text1"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ellanmrklista1">
    <w:name w:val="Medium List 1"/>
    <w:basedOn w:val="Normaltabell"/>
    <w:uiPriority w:val="65"/>
    <w:rsid w:val="00DF01FE"/>
    <w:pPr>
      <w:spacing w:after="0" w:line="240" w:lineRule="auto"/>
    </w:pPr>
    <w:rPr>
      <w:rFonts w:cs="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imes New Roman"/>
      </w:rPr>
      <w:tblPr/>
      <w:tcPr>
        <w:tcBorders>
          <w:top w:val="nil"/>
          <w:bottom w:val="single" w:sz="8" w:space="0" w:color="000000" w:themeColor="text1"/>
        </w:tcBorders>
      </w:tcPr>
    </w:tblStylePr>
    <w:tblStylePr w:type="lastRow">
      <w:rPr>
        <w:rFonts w:cs="Times New Roman"/>
        <w:b/>
        <w:bCs/>
        <w:color w:val="1F497D" w:themeColor="text2"/>
      </w:rPr>
      <w:tblPr/>
      <w:tcPr>
        <w:tcBorders>
          <w:top w:val="single" w:sz="8" w:space="0" w:color="000000" w:themeColor="text1"/>
          <w:bottom w:val="single" w:sz="8" w:space="0" w:color="000000" w:themeColor="text1"/>
        </w:tcBorders>
      </w:tcPr>
    </w:tblStylePr>
    <w:tblStylePr w:type="firstCol">
      <w:rPr>
        <w:rFonts w:cs="Times New Roman"/>
        <w:b/>
        <w:bCs/>
      </w:rPr>
    </w:tblStylePr>
    <w:tblStylePr w:type="lastCol">
      <w:rPr>
        <w:rFonts w:cs="Times New Roman"/>
        <w:b/>
        <w:bCs/>
      </w:rPr>
      <w:tblPr/>
      <w:tcPr>
        <w:tcBorders>
          <w:top w:val="single" w:sz="8" w:space="0" w:color="000000" w:themeColor="text1"/>
          <w:bottom w:val="single" w:sz="8" w:space="0" w:color="000000" w:themeColor="text1"/>
        </w:tcBorders>
      </w:tcPr>
    </w:tblStylePr>
    <w:tblStylePr w:type="band1Vert">
      <w:rPr>
        <w:rFonts w:cs="Times New Roman"/>
      </w:rPr>
      <w:tblPr/>
      <w:tcPr>
        <w:shd w:val="clear" w:color="auto" w:fill="C0C0C0" w:themeFill="text1" w:themeFillTint="3F"/>
      </w:tcPr>
    </w:tblStylePr>
    <w:tblStylePr w:type="band1Horz">
      <w:rPr>
        <w:rFonts w:cs="Times New Roman"/>
      </w:rPr>
      <w:tblPr/>
      <w:tcPr>
        <w:shd w:val="clear" w:color="auto" w:fill="C0C0C0" w:themeFill="text1" w:themeFillTint="3F"/>
      </w:tcPr>
    </w:tblStylePr>
  </w:style>
  <w:style w:type="table" w:styleId="Mellanmrkskuggning2">
    <w:name w:val="Medium Shading 2"/>
    <w:basedOn w:val="Normaltabell"/>
    <w:uiPriority w:val="64"/>
    <w:rsid w:val="00DF01FE"/>
    <w:pPr>
      <w:spacing w:after="0" w:line="240" w:lineRule="auto"/>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rFonts w:cs="Times New Roman"/>
        <w:b/>
        <w:bCs/>
        <w:color w:val="FFFFFF" w:themeColor="background1"/>
      </w:rPr>
      <w:tblPr/>
      <w:tcPr>
        <w:tcBorders>
          <w:left w:val="nil"/>
          <w:right w:val="nil"/>
          <w:insideH w:val="nil"/>
          <w:insideV w:val="nil"/>
        </w:tcBorders>
        <w:shd w:val="clear" w:color="auto" w:fill="000000" w:themeFill="text1"/>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1">
    <w:name w:val="Medium Shading 1"/>
    <w:basedOn w:val="Normaltabell"/>
    <w:uiPriority w:val="63"/>
    <w:rsid w:val="00DF01FE"/>
    <w:pPr>
      <w:spacing w:after="0" w:line="240" w:lineRule="auto"/>
    </w:pPr>
    <w:rPr>
      <w:rFonts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pPr>
      <w:rPr>
        <w:rFonts w:cs="Times New Roman"/>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pPr>
      <w:rPr>
        <w:rFonts w:cs="Times New Roman"/>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hemeFill="text1" w:themeFillTint="3F"/>
      </w:tcPr>
    </w:tblStylePr>
    <w:tblStylePr w:type="band1Horz">
      <w:rPr>
        <w:rFonts w:cs="Times New Roman"/>
      </w:rPr>
      <w:tblPr/>
      <w:tcPr>
        <w:tcBorders>
          <w:insideH w:val="nil"/>
          <w:insideV w:val="nil"/>
        </w:tcBorders>
        <w:shd w:val="clear" w:color="auto" w:fill="C0C0C0" w:themeFill="text1" w:themeFillTint="3F"/>
      </w:tcPr>
    </w:tblStylePr>
    <w:tblStylePr w:type="band2Horz">
      <w:rPr>
        <w:rFonts w:cs="Times New Roman"/>
      </w:rPr>
      <w:tblPr/>
      <w:tcPr>
        <w:tcBorders>
          <w:insideH w:val="nil"/>
          <w:insideV w:val="nil"/>
        </w:tcBorders>
      </w:tcPr>
    </w:tblStylePr>
  </w:style>
  <w:style w:type="table" w:styleId="Ljustrutnt">
    <w:name w:val="Light Grid"/>
    <w:basedOn w:val="Normaltabell"/>
    <w:uiPriority w:val="62"/>
    <w:rsid w:val="00DF01FE"/>
    <w:pPr>
      <w:spacing w:after="0" w:line="240" w:lineRule="auto"/>
    </w:pPr>
    <w:rPr>
      <w:rFonts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lista">
    <w:name w:val="Light List"/>
    <w:basedOn w:val="Normaltabell"/>
    <w:uiPriority w:val="61"/>
    <w:rsid w:val="00DF01FE"/>
    <w:pPr>
      <w:spacing w:after="0" w:line="240" w:lineRule="auto"/>
    </w:pPr>
    <w:rPr>
      <w:rFonts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skuggning">
    <w:name w:val="Light Shading"/>
    <w:basedOn w:val="Normaltabell"/>
    <w:uiPriority w:val="60"/>
    <w:rsid w:val="00DF01FE"/>
    <w:pPr>
      <w:spacing w:after="0" w:line="240" w:lineRule="auto"/>
    </w:pPr>
    <w:rPr>
      <w:rFonts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Ingetavstnd">
    <w:name w:val="No Spacing"/>
    <w:uiPriority w:val="1"/>
    <w:qFormat/>
    <w:rsid w:val="00DF01FE"/>
    <w:pPr>
      <w:spacing w:after="0" w:line="240" w:lineRule="auto"/>
      <w:jc w:val="both"/>
    </w:pPr>
    <w:rPr>
      <w:rFonts w:ascii="Arial" w:hAnsi="Arial" w:cs="Times New Roman"/>
      <w:sz w:val="24"/>
    </w:rPr>
  </w:style>
  <w:style w:type="character" w:styleId="HTML-variabel">
    <w:name w:val="HTML Variable"/>
    <w:basedOn w:val="Standardstycketeckensnitt"/>
    <w:uiPriority w:val="99"/>
    <w:semiHidden/>
    <w:unhideWhenUsed/>
    <w:rsid w:val="00DF01FE"/>
    <w:rPr>
      <w:rFonts w:cs="Times New Roman"/>
      <w:i/>
      <w:iCs/>
    </w:rPr>
  </w:style>
  <w:style w:type="character" w:styleId="HTML-skrivmaskin">
    <w:name w:val="HTML Typewriter"/>
    <w:basedOn w:val="Standardstycketeckensnitt"/>
    <w:uiPriority w:val="99"/>
    <w:semiHidden/>
    <w:unhideWhenUsed/>
    <w:rsid w:val="00DF01FE"/>
    <w:rPr>
      <w:rFonts w:ascii="Consolas" w:hAnsi="Consolas" w:cs="Times New Roman"/>
      <w:sz w:val="20"/>
      <w:szCs w:val="20"/>
    </w:rPr>
  </w:style>
  <w:style w:type="character" w:styleId="HTML-exempel">
    <w:name w:val="HTML Sample"/>
    <w:basedOn w:val="Standardstycketeckensnitt"/>
    <w:uiPriority w:val="99"/>
    <w:semiHidden/>
    <w:unhideWhenUsed/>
    <w:rsid w:val="00DF01FE"/>
    <w:rPr>
      <w:rFonts w:ascii="Consolas" w:hAnsi="Consolas" w:cs="Times New Roman"/>
      <w:sz w:val="24"/>
      <w:szCs w:val="24"/>
    </w:rPr>
  </w:style>
  <w:style w:type="paragraph" w:styleId="HTML-frformaterad">
    <w:name w:val="HTML Preformatted"/>
    <w:basedOn w:val="Normal"/>
    <w:link w:val="HTML-frformateradChar"/>
    <w:uiPriority w:val="99"/>
    <w:semiHidden/>
    <w:unhideWhenUsed/>
    <w:rsid w:val="00DF01FE"/>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locked/>
    <w:rsid w:val="00DF01FE"/>
    <w:rPr>
      <w:rFonts w:ascii="Consolas" w:hAnsi="Consolas" w:cs="Times New Roman"/>
      <w:sz w:val="20"/>
      <w:szCs w:val="20"/>
    </w:rPr>
  </w:style>
  <w:style w:type="character" w:styleId="HTML-tangentbord">
    <w:name w:val="HTML Keyboard"/>
    <w:basedOn w:val="Standardstycketeckensnitt"/>
    <w:uiPriority w:val="99"/>
    <w:semiHidden/>
    <w:unhideWhenUsed/>
    <w:rsid w:val="00DF01FE"/>
    <w:rPr>
      <w:rFonts w:ascii="Consolas" w:hAnsi="Consolas" w:cs="Times New Roman"/>
      <w:sz w:val="20"/>
      <w:szCs w:val="20"/>
    </w:rPr>
  </w:style>
  <w:style w:type="character" w:styleId="HTML-definition">
    <w:name w:val="HTML Definition"/>
    <w:basedOn w:val="Standardstycketeckensnitt"/>
    <w:uiPriority w:val="99"/>
    <w:semiHidden/>
    <w:unhideWhenUsed/>
    <w:rsid w:val="00DF01FE"/>
    <w:rPr>
      <w:rFonts w:cs="Times New Roman"/>
      <w:i/>
      <w:iCs/>
    </w:rPr>
  </w:style>
  <w:style w:type="character" w:styleId="HTML-kod">
    <w:name w:val="HTML Code"/>
    <w:basedOn w:val="Standardstycketeckensnitt"/>
    <w:uiPriority w:val="99"/>
    <w:semiHidden/>
    <w:unhideWhenUsed/>
    <w:rsid w:val="00DF01FE"/>
    <w:rPr>
      <w:rFonts w:ascii="Consolas" w:hAnsi="Consolas" w:cs="Times New Roman"/>
      <w:sz w:val="20"/>
      <w:szCs w:val="20"/>
    </w:rPr>
  </w:style>
  <w:style w:type="character" w:styleId="HTML-citat">
    <w:name w:val="HTML Cite"/>
    <w:basedOn w:val="Standardstycketeckensnitt"/>
    <w:uiPriority w:val="99"/>
    <w:semiHidden/>
    <w:unhideWhenUsed/>
    <w:rsid w:val="00DF01FE"/>
    <w:rPr>
      <w:rFonts w:cs="Times New Roman"/>
      <w:i/>
      <w:iCs/>
    </w:rPr>
  </w:style>
  <w:style w:type="paragraph" w:styleId="HTML-adress">
    <w:name w:val="HTML Address"/>
    <w:basedOn w:val="Normal"/>
    <w:link w:val="HTML-adressChar"/>
    <w:uiPriority w:val="99"/>
    <w:semiHidden/>
    <w:unhideWhenUsed/>
    <w:rsid w:val="00DF01FE"/>
    <w:pPr>
      <w:spacing w:after="0" w:line="240" w:lineRule="auto"/>
    </w:pPr>
    <w:rPr>
      <w:i/>
      <w:iCs/>
    </w:rPr>
  </w:style>
  <w:style w:type="character" w:customStyle="1" w:styleId="HTML-adressChar">
    <w:name w:val="HTML - adress Char"/>
    <w:basedOn w:val="Standardstycketeckensnitt"/>
    <w:link w:val="HTML-adress"/>
    <w:uiPriority w:val="99"/>
    <w:semiHidden/>
    <w:locked/>
    <w:rsid w:val="00DF01FE"/>
    <w:rPr>
      <w:rFonts w:ascii="Arial" w:hAnsi="Arial" w:cs="Times New Roman"/>
      <w:i/>
      <w:iCs/>
      <w:sz w:val="24"/>
    </w:rPr>
  </w:style>
  <w:style w:type="character" w:styleId="HTML-akronym">
    <w:name w:val="HTML Acronym"/>
    <w:basedOn w:val="Standardstycketeckensnitt"/>
    <w:uiPriority w:val="99"/>
    <w:semiHidden/>
    <w:unhideWhenUsed/>
    <w:rsid w:val="00DF01FE"/>
    <w:rPr>
      <w:rFonts w:cs="Times New Roman"/>
    </w:rPr>
  </w:style>
  <w:style w:type="paragraph" w:styleId="Normalwebb">
    <w:name w:val="Normal (Web)"/>
    <w:basedOn w:val="Normal"/>
    <w:uiPriority w:val="99"/>
    <w:semiHidden/>
    <w:unhideWhenUsed/>
    <w:rsid w:val="00DF01FE"/>
    <w:rPr>
      <w:rFonts w:ascii="Times New Roman" w:hAnsi="Times New Roman"/>
      <w:szCs w:val="24"/>
    </w:rPr>
  </w:style>
  <w:style w:type="paragraph" w:styleId="Oformateradtext">
    <w:name w:val="Plain Text"/>
    <w:basedOn w:val="Normal"/>
    <w:link w:val="OformateradtextChar"/>
    <w:uiPriority w:val="99"/>
    <w:semiHidden/>
    <w:unhideWhenUsed/>
    <w:rsid w:val="00DF01FE"/>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locked/>
    <w:rsid w:val="00DF01FE"/>
    <w:rPr>
      <w:rFonts w:ascii="Consolas" w:hAnsi="Consolas" w:cs="Times New Roman"/>
      <w:sz w:val="21"/>
      <w:szCs w:val="21"/>
    </w:rPr>
  </w:style>
  <w:style w:type="paragraph" w:styleId="Dokumentversikt">
    <w:name w:val="Document Map"/>
    <w:basedOn w:val="Normal"/>
    <w:link w:val="DokumentversiktChar"/>
    <w:uiPriority w:val="99"/>
    <w:semiHidden/>
    <w:unhideWhenUsed/>
    <w:rsid w:val="00DF01FE"/>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locked/>
    <w:rsid w:val="00DF01FE"/>
    <w:rPr>
      <w:rFonts w:ascii="Tahoma" w:hAnsi="Tahoma" w:cs="Tahoma"/>
      <w:sz w:val="16"/>
      <w:szCs w:val="16"/>
    </w:rPr>
  </w:style>
  <w:style w:type="character" w:styleId="Betoning">
    <w:name w:val="Emphasis"/>
    <w:basedOn w:val="Standardstycketeckensnitt"/>
    <w:uiPriority w:val="20"/>
    <w:qFormat/>
    <w:rsid w:val="00DF01FE"/>
    <w:rPr>
      <w:rFonts w:cs="Times New Roman"/>
      <w:i/>
      <w:iCs/>
    </w:rPr>
  </w:style>
  <w:style w:type="character" w:styleId="Stark">
    <w:name w:val="Strong"/>
    <w:basedOn w:val="Standardstycketeckensnitt"/>
    <w:uiPriority w:val="22"/>
    <w:qFormat/>
    <w:rsid w:val="00DF01FE"/>
    <w:rPr>
      <w:rFonts w:cs="Times New Roman"/>
      <w:b/>
      <w:bCs/>
    </w:rPr>
  </w:style>
  <w:style w:type="character" w:styleId="AnvndHyperlnk">
    <w:name w:val="FollowedHyperlink"/>
    <w:basedOn w:val="Standardstycketeckensnitt"/>
    <w:uiPriority w:val="99"/>
    <w:semiHidden/>
    <w:unhideWhenUsed/>
    <w:rsid w:val="00DF01FE"/>
    <w:rPr>
      <w:rFonts w:cs="Times New Roman"/>
      <w:color w:val="800080" w:themeColor="followedHyperlink"/>
      <w:u w:val="single"/>
    </w:rPr>
  </w:style>
  <w:style w:type="paragraph" w:styleId="Indragetstycke">
    <w:name w:val="Block Text"/>
    <w:basedOn w:val="Normal"/>
    <w:uiPriority w:val="99"/>
    <w:semiHidden/>
    <w:unhideWhenUsed/>
    <w:rsid w:val="00DF01F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Brdtextmedindrag3">
    <w:name w:val="Body Text Indent 3"/>
    <w:basedOn w:val="Normal"/>
    <w:link w:val="Brdtextmedindrag3Char"/>
    <w:uiPriority w:val="99"/>
    <w:semiHidden/>
    <w:unhideWhenUsed/>
    <w:rsid w:val="00DF01FE"/>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locked/>
    <w:rsid w:val="00DF01FE"/>
    <w:rPr>
      <w:rFonts w:ascii="Arial" w:hAnsi="Arial" w:cs="Times New Roman"/>
      <w:sz w:val="16"/>
      <w:szCs w:val="16"/>
    </w:rPr>
  </w:style>
  <w:style w:type="paragraph" w:styleId="Brdtextmedindrag2">
    <w:name w:val="Body Text Indent 2"/>
    <w:basedOn w:val="Normal"/>
    <w:link w:val="Brdtextmedindrag2Char"/>
    <w:uiPriority w:val="99"/>
    <w:semiHidden/>
    <w:unhideWhenUsed/>
    <w:rsid w:val="00DF01FE"/>
    <w:pPr>
      <w:spacing w:after="120" w:line="480" w:lineRule="auto"/>
      <w:ind w:left="283"/>
    </w:pPr>
  </w:style>
  <w:style w:type="character" w:customStyle="1" w:styleId="Brdtextmedindrag2Char">
    <w:name w:val="Brödtext med indrag 2 Char"/>
    <w:basedOn w:val="Standardstycketeckensnitt"/>
    <w:link w:val="Brdtextmedindrag2"/>
    <w:uiPriority w:val="99"/>
    <w:semiHidden/>
    <w:locked/>
    <w:rsid w:val="00DF01FE"/>
    <w:rPr>
      <w:rFonts w:ascii="Arial" w:hAnsi="Arial" w:cs="Times New Roman"/>
      <w:sz w:val="24"/>
    </w:rPr>
  </w:style>
  <w:style w:type="paragraph" w:styleId="Brdtext3">
    <w:name w:val="Body Text 3"/>
    <w:basedOn w:val="Normal"/>
    <w:link w:val="Brdtext3Char"/>
    <w:uiPriority w:val="99"/>
    <w:semiHidden/>
    <w:unhideWhenUsed/>
    <w:rsid w:val="00DF01FE"/>
    <w:pPr>
      <w:spacing w:after="120"/>
    </w:pPr>
    <w:rPr>
      <w:sz w:val="16"/>
      <w:szCs w:val="16"/>
    </w:rPr>
  </w:style>
  <w:style w:type="character" w:customStyle="1" w:styleId="Brdtext3Char">
    <w:name w:val="Brödtext 3 Char"/>
    <w:basedOn w:val="Standardstycketeckensnitt"/>
    <w:link w:val="Brdtext3"/>
    <w:uiPriority w:val="99"/>
    <w:semiHidden/>
    <w:locked/>
    <w:rsid w:val="00DF01FE"/>
    <w:rPr>
      <w:rFonts w:ascii="Arial" w:hAnsi="Arial" w:cs="Times New Roman"/>
      <w:sz w:val="16"/>
      <w:szCs w:val="16"/>
    </w:rPr>
  </w:style>
  <w:style w:type="paragraph" w:styleId="Brdtext2">
    <w:name w:val="Body Text 2"/>
    <w:basedOn w:val="Normal"/>
    <w:link w:val="Brdtext2Char"/>
    <w:uiPriority w:val="99"/>
    <w:semiHidden/>
    <w:unhideWhenUsed/>
    <w:rsid w:val="00DF01FE"/>
    <w:pPr>
      <w:spacing w:after="120" w:line="480" w:lineRule="auto"/>
    </w:pPr>
  </w:style>
  <w:style w:type="character" w:customStyle="1" w:styleId="Brdtext2Char">
    <w:name w:val="Brödtext 2 Char"/>
    <w:basedOn w:val="Standardstycketeckensnitt"/>
    <w:link w:val="Brdtext2"/>
    <w:uiPriority w:val="99"/>
    <w:semiHidden/>
    <w:locked/>
    <w:rsid w:val="00DF01FE"/>
    <w:rPr>
      <w:rFonts w:ascii="Arial" w:hAnsi="Arial" w:cs="Times New Roman"/>
      <w:sz w:val="24"/>
    </w:rPr>
  </w:style>
  <w:style w:type="paragraph" w:styleId="Anteckningsrubrik">
    <w:name w:val="Note Heading"/>
    <w:basedOn w:val="Normal"/>
    <w:next w:val="Normal"/>
    <w:link w:val="AnteckningsrubrikChar"/>
    <w:uiPriority w:val="99"/>
    <w:semiHidden/>
    <w:unhideWhenUsed/>
    <w:rsid w:val="00DF01FE"/>
    <w:pPr>
      <w:spacing w:after="0" w:line="240" w:lineRule="auto"/>
    </w:pPr>
  </w:style>
  <w:style w:type="character" w:customStyle="1" w:styleId="AnteckningsrubrikChar">
    <w:name w:val="Anteckningsrubrik Char"/>
    <w:basedOn w:val="Standardstycketeckensnitt"/>
    <w:link w:val="Anteckningsrubrik"/>
    <w:uiPriority w:val="99"/>
    <w:semiHidden/>
    <w:locked/>
    <w:rsid w:val="00DF01FE"/>
    <w:rPr>
      <w:rFonts w:ascii="Arial" w:hAnsi="Arial" w:cs="Times New Roman"/>
      <w:sz w:val="24"/>
    </w:rPr>
  </w:style>
  <w:style w:type="paragraph" w:styleId="Brdtextmedindrag">
    <w:name w:val="Body Text Indent"/>
    <w:basedOn w:val="Normal"/>
    <w:link w:val="BrdtextmedindragChar"/>
    <w:uiPriority w:val="99"/>
    <w:semiHidden/>
    <w:unhideWhenUsed/>
    <w:rsid w:val="00DF01FE"/>
    <w:pPr>
      <w:spacing w:after="120"/>
      <w:ind w:left="283"/>
    </w:pPr>
  </w:style>
  <w:style w:type="character" w:customStyle="1" w:styleId="BrdtextmedindragChar">
    <w:name w:val="Brödtext med indrag Char"/>
    <w:basedOn w:val="Standardstycketeckensnitt"/>
    <w:link w:val="Brdtextmedindrag"/>
    <w:uiPriority w:val="99"/>
    <w:semiHidden/>
    <w:locked/>
    <w:rsid w:val="00DF01FE"/>
    <w:rPr>
      <w:rFonts w:ascii="Arial" w:hAnsi="Arial" w:cs="Times New Roman"/>
      <w:sz w:val="24"/>
    </w:rPr>
  </w:style>
  <w:style w:type="paragraph" w:styleId="Brdtextmedfrstaindrag2">
    <w:name w:val="Body Text First Indent 2"/>
    <w:basedOn w:val="Brdtextmedindrag"/>
    <w:link w:val="Brdtextmedfrstaindrag2Char"/>
    <w:uiPriority w:val="99"/>
    <w:semiHidden/>
    <w:unhideWhenUsed/>
    <w:rsid w:val="00DF01FE"/>
    <w:pPr>
      <w:spacing w:after="200"/>
      <w:ind w:left="360" w:firstLine="360"/>
    </w:pPr>
  </w:style>
  <w:style w:type="character" w:customStyle="1" w:styleId="Brdtextmedfrstaindrag2Char">
    <w:name w:val="Brödtext med första indrag 2 Char"/>
    <w:basedOn w:val="BrdtextmedindragChar"/>
    <w:link w:val="Brdtextmedfrstaindrag2"/>
    <w:uiPriority w:val="99"/>
    <w:semiHidden/>
    <w:locked/>
    <w:rsid w:val="00DF01FE"/>
    <w:rPr>
      <w:rFonts w:ascii="Arial" w:hAnsi="Arial" w:cs="Times New Roman"/>
      <w:sz w:val="24"/>
    </w:rPr>
  </w:style>
  <w:style w:type="paragraph" w:styleId="Brdtext">
    <w:name w:val="Body Text"/>
    <w:basedOn w:val="Normal"/>
    <w:link w:val="BrdtextChar"/>
    <w:uiPriority w:val="99"/>
    <w:semiHidden/>
    <w:unhideWhenUsed/>
    <w:rsid w:val="00DF01FE"/>
    <w:pPr>
      <w:spacing w:after="120"/>
    </w:pPr>
  </w:style>
  <w:style w:type="character" w:customStyle="1" w:styleId="BrdtextChar">
    <w:name w:val="Brödtext Char"/>
    <w:basedOn w:val="Standardstycketeckensnitt"/>
    <w:link w:val="Brdtext"/>
    <w:uiPriority w:val="99"/>
    <w:semiHidden/>
    <w:locked/>
    <w:rsid w:val="00DF01FE"/>
    <w:rPr>
      <w:rFonts w:ascii="Arial" w:hAnsi="Arial" w:cs="Times New Roman"/>
      <w:sz w:val="24"/>
    </w:rPr>
  </w:style>
  <w:style w:type="paragraph" w:styleId="Brdtextmedfrstaindrag">
    <w:name w:val="Body Text First Indent"/>
    <w:basedOn w:val="Brdtext"/>
    <w:link w:val="BrdtextmedfrstaindragChar"/>
    <w:uiPriority w:val="99"/>
    <w:semiHidden/>
    <w:unhideWhenUsed/>
    <w:rsid w:val="00DF01FE"/>
    <w:pPr>
      <w:spacing w:after="200"/>
      <w:ind w:firstLine="360"/>
    </w:pPr>
  </w:style>
  <w:style w:type="character" w:customStyle="1" w:styleId="BrdtextmedfrstaindragChar">
    <w:name w:val="Brödtext med första indrag Char"/>
    <w:basedOn w:val="BrdtextChar"/>
    <w:link w:val="Brdtextmedfrstaindrag"/>
    <w:uiPriority w:val="99"/>
    <w:semiHidden/>
    <w:locked/>
    <w:rsid w:val="00DF01FE"/>
    <w:rPr>
      <w:rFonts w:ascii="Arial" w:hAnsi="Arial" w:cs="Times New Roman"/>
      <w:sz w:val="24"/>
    </w:rPr>
  </w:style>
  <w:style w:type="paragraph" w:styleId="Datum">
    <w:name w:val="Date"/>
    <w:basedOn w:val="Normal"/>
    <w:next w:val="Normal"/>
    <w:link w:val="DatumChar"/>
    <w:uiPriority w:val="99"/>
    <w:semiHidden/>
    <w:unhideWhenUsed/>
    <w:rsid w:val="00DF01FE"/>
  </w:style>
  <w:style w:type="character" w:customStyle="1" w:styleId="DatumChar">
    <w:name w:val="Datum Char"/>
    <w:basedOn w:val="Standardstycketeckensnitt"/>
    <w:link w:val="Datum"/>
    <w:uiPriority w:val="99"/>
    <w:semiHidden/>
    <w:locked/>
    <w:rsid w:val="00DF01FE"/>
    <w:rPr>
      <w:rFonts w:ascii="Arial" w:hAnsi="Arial" w:cs="Times New Roman"/>
      <w:sz w:val="24"/>
    </w:rPr>
  </w:style>
  <w:style w:type="paragraph" w:styleId="Inledning">
    <w:name w:val="Salutation"/>
    <w:basedOn w:val="Normal"/>
    <w:next w:val="Normal"/>
    <w:link w:val="InledningChar"/>
    <w:uiPriority w:val="99"/>
    <w:semiHidden/>
    <w:unhideWhenUsed/>
    <w:rsid w:val="00DF01FE"/>
  </w:style>
  <w:style w:type="character" w:customStyle="1" w:styleId="InledningChar">
    <w:name w:val="Inledning Char"/>
    <w:basedOn w:val="Standardstycketeckensnitt"/>
    <w:link w:val="Inledning"/>
    <w:uiPriority w:val="99"/>
    <w:semiHidden/>
    <w:locked/>
    <w:rsid w:val="00DF01FE"/>
    <w:rPr>
      <w:rFonts w:ascii="Arial" w:hAnsi="Arial" w:cs="Times New Roman"/>
      <w:sz w:val="24"/>
    </w:rPr>
  </w:style>
  <w:style w:type="paragraph" w:styleId="Underrubrik">
    <w:name w:val="Subtitle"/>
    <w:basedOn w:val="Normal"/>
    <w:next w:val="Normal"/>
    <w:link w:val="UnderrubrikChar"/>
    <w:uiPriority w:val="11"/>
    <w:qFormat/>
    <w:rsid w:val="00DF01FE"/>
    <w:pPr>
      <w:numPr>
        <w:ilvl w:val="1"/>
      </w:numPr>
    </w:pPr>
    <w:rPr>
      <w:rFonts w:asciiTheme="majorHAnsi" w:eastAsiaTheme="majorEastAsia" w:hAnsiTheme="majorHAnsi"/>
      <w:i/>
      <w:iCs/>
      <w:color w:val="4F81BD" w:themeColor="accent1"/>
      <w:spacing w:val="15"/>
      <w:szCs w:val="24"/>
    </w:rPr>
  </w:style>
  <w:style w:type="character" w:customStyle="1" w:styleId="UnderrubrikChar">
    <w:name w:val="Underrubrik Char"/>
    <w:basedOn w:val="Standardstycketeckensnitt"/>
    <w:link w:val="Underrubrik"/>
    <w:uiPriority w:val="11"/>
    <w:locked/>
    <w:rsid w:val="00DF01FE"/>
    <w:rPr>
      <w:rFonts w:asciiTheme="majorHAnsi" w:eastAsiaTheme="majorEastAsia" w:hAnsiTheme="majorHAnsi" w:cs="Times New Roman"/>
      <w:i/>
      <w:iCs/>
      <w:color w:val="4F81BD" w:themeColor="accent1"/>
      <w:spacing w:val="15"/>
      <w:sz w:val="24"/>
      <w:szCs w:val="24"/>
    </w:rPr>
  </w:style>
  <w:style w:type="paragraph" w:styleId="Meddelanderubrik">
    <w:name w:val="Message Header"/>
    <w:basedOn w:val="Normal"/>
    <w:link w:val="MeddelanderubrikChar"/>
    <w:uiPriority w:val="99"/>
    <w:semiHidden/>
    <w:unhideWhenUsed/>
    <w:rsid w:val="00DF01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szCs w:val="24"/>
    </w:rPr>
  </w:style>
  <w:style w:type="character" w:customStyle="1" w:styleId="MeddelanderubrikChar">
    <w:name w:val="Meddelanderubrik Char"/>
    <w:basedOn w:val="Standardstycketeckensnitt"/>
    <w:link w:val="Meddelanderubrik"/>
    <w:uiPriority w:val="99"/>
    <w:semiHidden/>
    <w:locked/>
    <w:rsid w:val="00DF01FE"/>
    <w:rPr>
      <w:rFonts w:asciiTheme="majorHAnsi" w:eastAsiaTheme="majorEastAsia" w:hAnsiTheme="majorHAnsi" w:cs="Times New Roman"/>
      <w:sz w:val="24"/>
      <w:szCs w:val="24"/>
      <w:shd w:val="pct20" w:color="auto" w:fill="auto"/>
    </w:rPr>
  </w:style>
  <w:style w:type="paragraph" w:styleId="Listafortstt5">
    <w:name w:val="List Continue 5"/>
    <w:basedOn w:val="Normal"/>
    <w:uiPriority w:val="99"/>
    <w:semiHidden/>
    <w:unhideWhenUsed/>
    <w:rsid w:val="00DF01FE"/>
    <w:pPr>
      <w:spacing w:after="120"/>
      <w:ind w:left="1415"/>
      <w:contextualSpacing/>
    </w:pPr>
  </w:style>
  <w:style w:type="paragraph" w:styleId="Listafortstt4">
    <w:name w:val="List Continue 4"/>
    <w:basedOn w:val="Normal"/>
    <w:uiPriority w:val="99"/>
    <w:semiHidden/>
    <w:unhideWhenUsed/>
    <w:rsid w:val="00DF01FE"/>
    <w:pPr>
      <w:spacing w:after="120"/>
      <w:ind w:left="1132"/>
      <w:contextualSpacing/>
    </w:pPr>
  </w:style>
  <w:style w:type="paragraph" w:styleId="Listafortstt3">
    <w:name w:val="List Continue 3"/>
    <w:basedOn w:val="Normal"/>
    <w:uiPriority w:val="99"/>
    <w:semiHidden/>
    <w:unhideWhenUsed/>
    <w:rsid w:val="00DF01FE"/>
    <w:pPr>
      <w:spacing w:after="120"/>
      <w:ind w:left="849"/>
      <w:contextualSpacing/>
    </w:pPr>
  </w:style>
  <w:style w:type="paragraph" w:styleId="Listafortstt2">
    <w:name w:val="List Continue 2"/>
    <w:basedOn w:val="Normal"/>
    <w:uiPriority w:val="99"/>
    <w:semiHidden/>
    <w:unhideWhenUsed/>
    <w:rsid w:val="00DF01FE"/>
    <w:pPr>
      <w:spacing w:after="120"/>
      <w:ind w:left="566"/>
      <w:contextualSpacing/>
    </w:pPr>
  </w:style>
  <w:style w:type="paragraph" w:styleId="Listafortstt">
    <w:name w:val="List Continue"/>
    <w:basedOn w:val="Normal"/>
    <w:uiPriority w:val="99"/>
    <w:semiHidden/>
    <w:unhideWhenUsed/>
    <w:rsid w:val="00DF01FE"/>
    <w:pPr>
      <w:spacing w:after="120"/>
      <w:ind w:left="283"/>
      <w:contextualSpacing/>
    </w:pPr>
  </w:style>
  <w:style w:type="paragraph" w:styleId="Signatur">
    <w:name w:val="Signature"/>
    <w:basedOn w:val="Normal"/>
    <w:link w:val="SignaturChar"/>
    <w:uiPriority w:val="99"/>
    <w:semiHidden/>
    <w:unhideWhenUsed/>
    <w:rsid w:val="00DF01FE"/>
    <w:pPr>
      <w:spacing w:after="0" w:line="240" w:lineRule="auto"/>
      <w:ind w:left="4252"/>
    </w:pPr>
  </w:style>
  <w:style w:type="character" w:customStyle="1" w:styleId="SignaturChar">
    <w:name w:val="Signatur Char"/>
    <w:basedOn w:val="Standardstycketeckensnitt"/>
    <w:link w:val="Signatur"/>
    <w:uiPriority w:val="99"/>
    <w:semiHidden/>
    <w:locked/>
    <w:rsid w:val="00DF01FE"/>
    <w:rPr>
      <w:rFonts w:ascii="Arial" w:hAnsi="Arial" w:cs="Times New Roman"/>
      <w:sz w:val="24"/>
    </w:rPr>
  </w:style>
  <w:style w:type="paragraph" w:styleId="Avslutandetext">
    <w:name w:val="Closing"/>
    <w:basedOn w:val="Normal"/>
    <w:link w:val="AvslutandetextChar"/>
    <w:uiPriority w:val="99"/>
    <w:semiHidden/>
    <w:unhideWhenUsed/>
    <w:rsid w:val="00DF01FE"/>
    <w:pPr>
      <w:spacing w:after="0" w:line="240" w:lineRule="auto"/>
      <w:ind w:left="4252"/>
    </w:pPr>
  </w:style>
  <w:style w:type="character" w:customStyle="1" w:styleId="AvslutandetextChar">
    <w:name w:val="Avslutande text Char"/>
    <w:basedOn w:val="Standardstycketeckensnitt"/>
    <w:link w:val="Avslutandetext"/>
    <w:uiPriority w:val="99"/>
    <w:semiHidden/>
    <w:locked/>
    <w:rsid w:val="00DF01FE"/>
    <w:rPr>
      <w:rFonts w:ascii="Arial" w:hAnsi="Arial" w:cs="Times New Roman"/>
      <w:sz w:val="24"/>
    </w:rPr>
  </w:style>
  <w:style w:type="paragraph" w:styleId="Numreradlista5">
    <w:name w:val="List Number 5"/>
    <w:basedOn w:val="Normal"/>
    <w:uiPriority w:val="99"/>
    <w:semiHidden/>
    <w:unhideWhenUsed/>
    <w:rsid w:val="00DF01FE"/>
    <w:pPr>
      <w:numPr>
        <w:numId w:val="18"/>
      </w:numPr>
      <w:contextualSpacing/>
    </w:pPr>
  </w:style>
  <w:style w:type="paragraph" w:styleId="Numreradlista4">
    <w:name w:val="List Number 4"/>
    <w:basedOn w:val="Normal"/>
    <w:uiPriority w:val="99"/>
    <w:semiHidden/>
    <w:unhideWhenUsed/>
    <w:rsid w:val="00DF01FE"/>
    <w:pPr>
      <w:numPr>
        <w:numId w:val="19"/>
      </w:numPr>
      <w:contextualSpacing/>
    </w:pPr>
  </w:style>
  <w:style w:type="paragraph" w:styleId="Numreradlista3">
    <w:name w:val="List Number 3"/>
    <w:basedOn w:val="Normal"/>
    <w:uiPriority w:val="99"/>
    <w:semiHidden/>
    <w:unhideWhenUsed/>
    <w:rsid w:val="00DF01FE"/>
    <w:pPr>
      <w:numPr>
        <w:numId w:val="20"/>
      </w:numPr>
      <w:contextualSpacing/>
    </w:pPr>
  </w:style>
  <w:style w:type="paragraph" w:styleId="Numreradlista2">
    <w:name w:val="List Number 2"/>
    <w:basedOn w:val="Normal"/>
    <w:uiPriority w:val="99"/>
    <w:semiHidden/>
    <w:unhideWhenUsed/>
    <w:rsid w:val="00DF01FE"/>
    <w:pPr>
      <w:numPr>
        <w:numId w:val="21"/>
      </w:numPr>
      <w:contextualSpacing/>
    </w:pPr>
  </w:style>
  <w:style w:type="paragraph" w:styleId="Punktlista5">
    <w:name w:val="List Bullet 5"/>
    <w:basedOn w:val="Normal"/>
    <w:uiPriority w:val="99"/>
    <w:semiHidden/>
    <w:unhideWhenUsed/>
    <w:rsid w:val="00DF01FE"/>
    <w:pPr>
      <w:numPr>
        <w:numId w:val="22"/>
      </w:numPr>
      <w:contextualSpacing/>
    </w:pPr>
  </w:style>
  <w:style w:type="paragraph" w:styleId="Punktlista4">
    <w:name w:val="List Bullet 4"/>
    <w:basedOn w:val="Normal"/>
    <w:uiPriority w:val="99"/>
    <w:semiHidden/>
    <w:unhideWhenUsed/>
    <w:rsid w:val="00DF01FE"/>
    <w:pPr>
      <w:numPr>
        <w:numId w:val="23"/>
      </w:numPr>
      <w:contextualSpacing/>
    </w:pPr>
  </w:style>
  <w:style w:type="paragraph" w:styleId="Punktlista3">
    <w:name w:val="List Bullet 3"/>
    <w:basedOn w:val="Normal"/>
    <w:uiPriority w:val="99"/>
    <w:semiHidden/>
    <w:unhideWhenUsed/>
    <w:rsid w:val="00DF01FE"/>
    <w:pPr>
      <w:numPr>
        <w:numId w:val="24"/>
      </w:numPr>
      <w:contextualSpacing/>
    </w:pPr>
  </w:style>
  <w:style w:type="paragraph" w:styleId="Punktlista2">
    <w:name w:val="List Bullet 2"/>
    <w:basedOn w:val="Normal"/>
    <w:uiPriority w:val="99"/>
    <w:semiHidden/>
    <w:unhideWhenUsed/>
    <w:rsid w:val="00DF01FE"/>
    <w:pPr>
      <w:numPr>
        <w:numId w:val="25"/>
      </w:numPr>
      <w:contextualSpacing/>
    </w:pPr>
  </w:style>
  <w:style w:type="paragraph" w:styleId="Lista5">
    <w:name w:val="List 5"/>
    <w:basedOn w:val="Normal"/>
    <w:uiPriority w:val="99"/>
    <w:semiHidden/>
    <w:unhideWhenUsed/>
    <w:rsid w:val="00DF01FE"/>
    <w:pPr>
      <w:ind w:left="1415" w:hanging="283"/>
      <w:contextualSpacing/>
    </w:pPr>
  </w:style>
  <w:style w:type="paragraph" w:styleId="Lista4">
    <w:name w:val="List 4"/>
    <w:basedOn w:val="Normal"/>
    <w:uiPriority w:val="99"/>
    <w:semiHidden/>
    <w:unhideWhenUsed/>
    <w:rsid w:val="00DF01FE"/>
    <w:pPr>
      <w:ind w:left="1132" w:hanging="283"/>
      <w:contextualSpacing/>
    </w:pPr>
  </w:style>
  <w:style w:type="paragraph" w:styleId="Lista3">
    <w:name w:val="List 3"/>
    <w:basedOn w:val="Normal"/>
    <w:uiPriority w:val="99"/>
    <w:semiHidden/>
    <w:unhideWhenUsed/>
    <w:rsid w:val="00DF01FE"/>
    <w:pPr>
      <w:ind w:left="849" w:hanging="283"/>
      <w:contextualSpacing/>
    </w:pPr>
  </w:style>
  <w:style w:type="paragraph" w:styleId="Lista2">
    <w:name w:val="List 2"/>
    <w:basedOn w:val="Normal"/>
    <w:uiPriority w:val="99"/>
    <w:semiHidden/>
    <w:unhideWhenUsed/>
    <w:rsid w:val="00DF01FE"/>
    <w:pPr>
      <w:ind w:left="566" w:hanging="283"/>
      <w:contextualSpacing/>
    </w:pPr>
  </w:style>
  <w:style w:type="paragraph" w:styleId="Numreradlista">
    <w:name w:val="List Number"/>
    <w:basedOn w:val="Normal"/>
    <w:uiPriority w:val="99"/>
    <w:semiHidden/>
    <w:unhideWhenUsed/>
    <w:rsid w:val="00DF01FE"/>
    <w:pPr>
      <w:numPr>
        <w:numId w:val="26"/>
      </w:numPr>
      <w:contextualSpacing/>
    </w:pPr>
  </w:style>
  <w:style w:type="paragraph" w:styleId="Punktlista">
    <w:name w:val="List Bullet"/>
    <w:basedOn w:val="Normal"/>
    <w:uiPriority w:val="99"/>
    <w:semiHidden/>
    <w:unhideWhenUsed/>
    <w:rsid w:val="00DF01FE"/>
    <w:pPr>
      <w:numPr>
        <w:numId w:val="27"/>
      </w:numPr>
      <w:contextualSpacing/>
    </w:pPr>
  </w:style>
  <w:style w:type="paragraph" w:styleId="Lista">
    <w:name w:val="List"/>
    <w:basedOn w:val="Normal"/>
    <w:uiPriority w:val="99"/>
    <w:semiHidden/>
    <w:unhideWhenUsed/>
    <w:rsid w:val="00DF01FE"/>
    <w:pPr>
      <w:ind w:left="283" w:hanging="283"/>
      <w:contextualSpacing/>
    </w:pPr>
  </w:style>
  <w:style w:type="paragraph" w:styleId="Citatfrteckningsrubrik">
    <w:name w:val="toa heading"/>
    <w:basedOn w:val="Normal"/>
    <w:next w:val="Normal"/>
    <w:uiPriority w:val="99"/>
    <w:semiHidden/>
    <w:unhideWhenUsed/>
    <w:rsid w:val="00DF01FE"/>
    <w:pPr>
      <w:spacing w:before="120"/>
    </w:pPr>
    <w:rPr>
      <w:rFonts w:asciiTheme="majorHAnsi" w:eastAsiaTheme="majorEastAsia" w:hAnsiTheme="majorHAnsi"/>
      <w:b/>
      <w:bCs/>
      <w:szCs w:val="24"/>
    </w:rPr>
  </w:style>
  <w:style w:type="paragraph" w:styleId="Makrotext">
    <w:name w:val="macro"/>
    <w:link w:val="MakrotextChar"/>
    <w:uiPriority w:val="99"/>
    <w:semiHidden/>
    <w:unhideWhenUsed/>
    <w:rsid w:val="00DF01FE"/>
    <w:pPr>
      <w:tabs>
        <w:tab w:val="left" w:pos="480"/>
        <w:tab w:val="left" w:pos="960"/>
        <w:tab w:val="left" w:pos="1440"/>
        <w:tab w:val="left" w:pos="1920"/>
        <w:tab w:val="left" w:pos="2400"/>
        <w:tab w:val="left" w:pos="2880"/>
        <w:tab w:val="left" w:pos="3360"/>
        <w:tab w:val="left" w:pos="3840"/>
        <w:tab w:val="left" w:pos="4320"/>
      </w:tabs>
      <w:spacing w:after="0"/>
      <w:jc w:val="both"/>
    </w:pPr>
    <w:rPr>
      <w:rFonts w:ascii="Consolas" w:hAnsi="Consolas" w:cs="Times New Roman"/>
      <w:sz w:val="20"/>
      <w:szCs w:val="20"/>
    </w:rPr>
  </w:style>
  <w:style w:type="character" w:customStyle="1" w:styleId="MakrotextChar">
    <w:name w:val="Makrotext Char"/>
    <w:basedOn w:val="Standardstycketeckensnitt"/>
    <w:link w:val="Makrotext"/>
    <w:uiPriority w:val="99"/>
    <w:semiHidden/>
    <w:locked/>
    <w:rsid w:val="00DF01FE"/>
    <w:rPr>
      <w:rFonts w:ascii="Consolas" w:hAnsi="Consolas" w:cs="Times New Roman"/>
      <w:sz w:val="20"/>
      <w:szCs w:val="20"/>
    </w:rPr>
  </w:style>
  <w:style w:type="paragraph" w:styleId="Citatfrteckning">
    <w:name w:val="table of authorities"/>
    <w:basedOn w:val="Normal"/>
    <w:next w:val="Normal"/>
    <w:uiPriority w:val="99"/>
    <w:semiHidden/>
    <w:unhideWhenUsed/>
    <w:rsid w:val="00DF01FE"/>
    <w:pPr>
      <w:spacing w:after="0"/>
      <w:ind w:left="240" w:hanging="240"/>
    </w:pPr>
  </w:style>
  <w:style w:type="paragraph" w:styleId="Slutnotstext">
    <w:name w:val="endnote text"/>
    <w:basedOn w:val="Normal"/>
    <w:link w:val="SlutnotstextChar"/>
    <w:uiPriority w:val="99"/>
    <w:semiHidden/>
    <w:unhideWhenUsed/>
    <w:rsid w:val="00DF01FE"/>
    <w:pPr>
      <w:spacing w:after="0" w:line="240" w:lineRule="auto"/>
    </w:pPr>
    <w:rPr>
      <w:sz w:val="20"/>
      <w:szCs w:val="20"/>
    </w:rPr>
  </w:style>
  <w:style w:type="character" w:customStyle="1" w:styleId="SlutnotstextChar">
    <w:name w:val="Slutnotstext Char"/>
    <w:basedOn w:val="Standardstycketeckensnitt"/>
    <w:link w:val="Slutnotstext"/>
    <w:uiPriority w:val="99"/>
    <w:semiHidden/>
    <w:locked/>
    <w:rsid w:val="00DF01FE"/>
    <w:rPr>
      <w:rFonts w:ascii="Arial" w:hAnsi="Arial" w:cs="Times New Roman"/>
      <w:sz w:val="20"/>
      <w:szCs w:val="20"/>
    </w:rPr>
  </w:style>
  <w:style w:type="character" w:styleId="Slutnotsreferens">
    <w:name w:val="endnote reference"/>
    <w:basedOn w:val="Standardstycketeckensnitt"/>
    <w:uiPriority w:val="99"/>
    <w:semiHidden/>
    <w:unhideWhenUsed/>
    <w:rsid w:val="00DF01FE"/>
    <w:rPr>
      <w:rFonts w:cs="Times New Roman"/>
      <w:vertAlign w:val="superscript"/>
    </w:rPr>
  </w:style>
  <w:style w:type="character" w:styleId="Sidnummer">
    <w:name w:val="page number"/>
    <w:basedOn w:val="Standardstycketeckensnitt"/>
    <w:uiPriority w:val="99"/>
    <w:semiHidden/>
    <w:unhideWhenUsed/>
    <w:rsid w:val="00DF01FE"/>
    <w:rPr>
      <w:rFonts w:cs="Times New Roman"/>
    </w:rPr>
  </w:style>
  <w:style w:type="character" w:styleId="Radnummer">
    <w:name w:val="line number"/>
    <w:basedOn w:val="Standardstycketeckensnitt"/>
    <w:uiPriority w:val="99"/>
    <w:semiHidden/>
    <w:unhideWhenUsed/>
    <w:rsid w:val="00DF01FE"/>
    <w:rPr>
      <w:rFonts w:cs="Times New Roman"/>
    </w:rPr>
  </w:style>
  <w:style w:type="character" w:styleId="Kommentarsreferens">
    <w:name w:val="annotation reference"/>
    <w:basedOn w:val="Standardstycketeckensnitt"/>
    <w:uiPriority w:val="99"/>
    <w:semiHidden/>
    <w:unhideWhenUsed/>
    <w:rsid w:val="00DF01FE"/>
    <w:rPr>
      <w:rFonts w:cs="Times New Roman"/>
      <w:sz w:val="16"/>
      <w:szCs w:val="16"/>
    </w:rPr>
  </w:style>
  <w:style w:type="paragraph" w:styleId="Avsndaradress-brev">
    <w:name w:val="envelope return"/>
    <w:basedOn w:val="Normal"/>
    <w:uiPriority w:val="99"/>
    <w:semiHidden/>
    <w:unhideWhenUsed/>
    <w:rsid w:val="00DF01FE"/>
    <w:pPr>
      <w:spacing w:after="0" w:line="240" w:lineRule="auto"/>
    </w:pPr>
    <w:rPr>
      <w:rFonts w:asciiTheme="majorHAnsi" w:eastAsiaTheme="majorEastAsia" w:hAnsiTheme="majorHAnsi"/>
      <w:sz w:val="20"/>
      <w:szCs w:val="20"/>
    </w:rPr>
  </w:style>
  <w:style w:type="paragraph" w:styleId="Adress-brev">
    <w:name w:val="envelope address"/>
    <w:basedOn w:val="Normal"/>
    <w:uiPriority w:val="99"/>
    <w:semiHidden/>
    <w:unhideWhenUsed/>
    <w:rsid w:val="00DF01FE"/>
    <w:pPr>
      <w:framePr w:w="4320" w:h="2160" w:hRule="exact" w:hSpace="141" w:wrap="auto" w:hAnchor="page" w:xAlign="center" w:yAlign="bottom"/>
      <w:spacing w:after="0" w:line="240" w:lineRule="auto"/>
      <w:ind w:left="1"/>
    </w:pPr>
    <w:rPr>
      <w:rFonts w:asciiTheme="majorHAnsi" w:eastAsiaTheme="majorEastAsia" w:hAnsiTheme="majorHAnsi"/>
      <w:szCs w:val="24"/>
    </w:rPr>
  </w:style>
  <w:style w:type="paragraph" w:styleId="Figurfrteckning">
    <w:name w:val="table of figures"/>
    <w:basedOn w:val="Normal"/>
    <w:next w:val="Normal"/>
    <w:uiPriority w:val="99"/>
    <w:semiHidden/>
    <w:unhideWhenUsed/>
    <w:rsid w:val="00DF01FE"/>
    <w:pPr>
      <w:spacing w:after="0"/>
    </w:pPr>
  </w:style>
  <w:style w:type="paragraph" w:styleId="Index1">
    <w:name w:val="index 1"/>
    <w:basedOn w:val="Normal"/>
    <w:next w:val="Normal"/>
    <w:autoRedefine/>
    <w:uiPriority w:val="99"/>
    <w:semiHidden/>
    <w:unhideWhenUsed/>
    <w:rsid w:val="00DF01FE"/>
    <w:pPr>
      <w:spacing w:after="0" w:line="240" w:lineRule="auto"/>
      <w:ind w:left="240" w:hanging="240"/>
    </w:pPr>
  </w:style>
  <w:style w:type="paragraph" w:styleId="Indexrubrik">
    <w:name w:val="index heading"/>
    <w:basedOn w:val="Normal"/>
    <w:next w:val="Index1"/>
    <w:uiPriority w:val="99"/>
    <w:semiHidden/>
    <w:unhideWhenUsed/>
    <w:rsid w:val="00DF01FE"/>
    <w:rPr>
      <w:rFonts w:asciiTheme="majorHAnsi" w:eastAsiaTheme="majorEastAsia" w:hAnsiTheme="majorHAnsi"/>
      <w:b/>
      <w:bCs/>
    </w:rPr>
  </w:style>
  <w:style w:type="paragraph" w:styleId="Kommentarer">
    <w:name w:val="annotation text"/>
    <w:basedOn w:val="Normal"/>
    <w:link w:val="KommentarerChar"/>
    <w:uiPriority w:val="99"/>
    <w:semiHidden/>
    <w:unhideWhenUsed/>
    <w:rsid w:val="00DF01FE"/>
    <w:pPr>
      <w:spacing w:line="240" w:lineRule="auto"/>
    </w:pPr>
    <w:rPr>
      <w:sz w:val="20"/>
      <w:szCs w:val="20"/>
    </w:rPr>
  </w:style>
  <w:style w:type="character" w:customStyle="1" w:styleId="KommentarerChar">
    <w:name w:val="Kommentarer Char"/>
    <w:basedOn w:val="Standardstycketeckensnitt"/>
    <w:link w:val="Kommentarer"/>
    <w:uiPriority w:val="99"/>
    <w:semiHidden/>
    <w:locked/>
    <w:rsid w:val="00DF01FE"/>
    <w:rPr>
      <w:rFonts w:ascii="Arial" w:hAnsi="Arial" w:cs="Times New Roman"/>
      <w:sz w:val="20"/>
      <w:szCs w:val="20"/>
    </w:rPr>
  </w:style>
  <w:style w:type="paragraph" w:styleId="Normaltindrag">
    <w:name w:val="Normal Indent"/>
    <w:basedOn w:val="Normal"/>
    <w:uiPriority w:val="99"/>
    <w:semiHidden/>
    <w:unhideWhenUsed/>
    <w:rsid w:val="00DF01FE"/>
    <w:pPr>
      <w:ind w:left="708"/>
    </w:pPr>
  </w:style>
  <w:style w:type="paragraph" w:styleId="Innehll9">
    <w:name w:val="toc 9"/>
    <w:basedOn w:val="Normal"/>
    <w:next w:val="Normal"/>
    <w:autoRedefine/>
    <w:uiPriority w:val="39"/>
    <w:semiHidden/>
    <w:unhideWhenUsed/>
    <w:rsid w:val="00DF01FE"/>
    <w:pPr>
      <w:spacing w:after="100"/>
      <w:ind w:left="1920"/>
    </w:pPr>
  </w:style>
  <w:style w:type="paragraph" w:styleId="Innehll8">
    <w:name w:val="toc 8"/>
    <w:basedOn w:val="Normal"/>
    <w:next w:val="Normal"/>
    <w:autoRedefine/>
    <w:uiPriority w:val="39"/>
    <w:semiHidden/>
    <w:unhideWhenUsed/>
    <w:rsid w:val="00DF01FE"/>
    <w:pPr>
      <w:spacing w:after="100"/>
      <w:ind w:left="1680"/>
    </w:pPr>
  </w:style>
  <w:style w:type="paragraph" w:styleId="Innehll7">
    <w:name w:val="toc 7"/>
    <w:basedOn w:val="Normal"/>
    <w:next w:val="Normal"/>
    <w:autoRedefine/>
    <w:uiPriority w:val="39"/>
    <w:semiHidden/>
    <w:unhideWhenUsed/>
    <w:rsid w:val="00DF01FE"/>
    <w:pPr>
      <w:spacing w:after="100"/>
      <w:ind w:left="1440"/>
    </w:pPr>
  </w:style>
  <w:style w:type="paragraph" w:styleId="Innehll6">
    <w:name w:val="toc 6"/>
    <w:basedOn w:val="Normal"/>
    <w:next w:val="Normal"/>
    <w:autoRedefine/>
    <w:uiPriority w:val="39"/>
    <w:semiHidden/>
    <w:unhideWhenUsed/>
    <w:rsid w:val="00DF01FE"/>
    <w:pPr>
      <w:spacing w:after="100"/>
      <w:ind w:left="1200"/>
    </w:pPr>
  </w:style>
  <w:style w:type="paragraph" w:styleId="Innehll5">
    <w:name w:val="toc 5"/>
    <w:basedOn w:val="Normal"/>
    <w:next w:val="Normal"/>
    <w:autoRedefine/>
    <w:uiPriority w:val="39"/>
    <w:semiHidden/>
    <w:unhideWhenUsed/>
    <w:rsid w:val="00DF01FE"/>
    <w:pPr>
      <w:spacing w:after="100"/>
      <w:ind w:left="960"/>
    </w:pPr>
  </w:style>
  <w:style w:type="paragraph" w:styleId="Innehll4">
    <w:name w:val="toc 4"/>
    <w:basedOn w:val="Normal"/>
    <w:next w:val="Normal"/>
    <w:autoRedefine/>
    <w:uiPriority w:val="39"/>
    <w:semiHidden/>
    <w:unhideWhenUsed/>
    <w:rsid w:val="00DF01FE"/>
    <w:pPr>
      <w:spacing w:after="100"/>
      <w:ind w:left="720"/>
    </w:pPr>
  </w:style>
  <w:style w:type="paragraph" w:styleId="Innehll3">
    <w:name w:val="toc 3"/>
    <w:basedOn w:val="Normal"/>
    <w:next w:val="Normal"/>
    <w:autoRedefine/>
    <w:uiPriority w:val="39"/>
    <w:semiHidden/>
    <w:unhideWhenUsed/>
    <w:rsid w:val="00DF01FE"/>
    <w:pPr>
      <w:spacing w:after="100"/>
      <w:ind w:left="480"/>
    </w:pPr>
  </w:style>
  <w:style w:type="paragraph" w:styleId="Index9">
    <w:name w:val="index 9"/>
    <w:basedOn w:val="Normal"/>
    <w:next w:val="Normal"/>
    <w:autoRedefine/>
    <w:uiPriority w:val="99"/>
    <w:semiHidden/>
    <w:unhideWhenUsed/>
    <w:rsid w:val="00DF01FE"/>
    <w:pPr>
      <w:spacing w:after="0" w:line="240" w:lineRule="auto"/>
      <w:ind w:left="2160" w:hanging="240"/>
    </w:pPr>
  </w:style>
  <w:style w:type="paragraph" w:styleId="Index8">
    <w:name w:val="index 8"/>
    <w:basedOn w:val="Normal"/>
    <w:next w:val="Normal"/>
    <w:autoRedefine/>
    <w:uiPriority w:val="99"/>
    <w:semiHidden/>
    <w:unhideWhenUsed/>
    <w:rsid w:val="00DF01FE"/>
    <w:pPr>
      <w:spacing w:after="0" w:line="240" w:lineRule="auto"/>
      <w:ind w:left="1920" w:hanging="240"/>
    </w:pPr>
  </w:style>
  <w:style w:type="paragraph" w:styleId="Index7">
    <w:name w:val="index 7"/>
    <w:basedOn w:val="Normal"/>
    <w:next w:val="Normal"/>
    <w:autoRedefine/>
    <w:uiPriority w:val="99"/>
    <w:semiHidden/>
    <w:unhideWhenUsed/>
    <w:rsid w:val="00DF01FE"/>
    <w:pPr>
      <w:spacing w:after="0" w:line="240" w:lineRule="auto"/>
      <w:ind w:left="1680" w:hanging="240"/>
    </w:pPr>
  </w:style>
  <w:style w:type="paragraph" w:styleId="Index6">
    <w:name w:val="index 6"/>
    <w:basedOn w:val="Normal"/>
    <w:next w:val="Normal"/>
    <w:autoRedefine/>
    <w:uiPriority w:val="99"/>
    <w:semiHidden/>
    <w:unhideWhenUsed/>
    <w:rsid w:val="00DF01FE"/>
    <w:pPr>
      <w:spacing w:after="0" w:line="240" w:lineRule="auto"/>
      <w:ind w:left="1440" w:hanging="240"/>
    </w:pPr>
  </w:style>
  <w:style w:type="paragraph" w:styleId="Index5">
    <w:name w:val="index 5"/>
    <w:basedOn w:val="Normal"/>
    <w:next w:val="Normal"/>
    <w:autoRedefine/>
    <w:uiPriority w:val="99"/>
    <w:semiHidden/>
    <w:unhideWhenUsed/>
    <w:rsid w:val="00DF01FE"/>
    <w:pPr>
      <w:spacing w:after="0" w:line="240" w:lineRule="auto"/>
      <w:ind w:left="1200" w:hanging="240"/>
    </w:pPr>
  </w:style>
  <w:style w:type="paragraph" w:styleId="Index4">
    <w:name w:val="index 4"/>
    <w:basedOn w:val="Normal"/>
    <w:next w:val="Normal"/>
    <w:autoRedefine/>
    <w:uiPriority w:val="99"/>
    <w:semiHidden/>
    <w:unhideWhenUsed/>
    <w:rsid w:val="00DF01FE"/>
    <w:pPr>
      <w:spacing w:after="0" w:line="240" w:lineRule="auto"/>
      <w:ind w:left="960" w:hanging="240"/>
    </w:pPr>
  </w:style>
  <w:style w:type="paragraph" w:styleId="Index3">
    <w:name w:val="index 3"/>
    <w:basedOn w:val="Normal"/>
    <w:next w:val="Normal"/>
    <w:autoRedefine/>
    <w:uiPriority w:val="99"/>
    <w:semiHidden/>
    <w:unhideWhenUsed/>
    <w:rsid w:val="00DF01FE"/>
    <w:pPr>
      <w:spacing w:after="0" w:line="240" w:lineRule="auto"/>
      <w:ind w:left="720" w:hanging="240"/>
    </w:pPr>
  </w:style>
  <w:style w:type="paragraph" w:styleId="Index2">
    <w:name w:val="index 2"/>
    <w:basedOn w:val="Normal"/>
    <w:next w:val="Normal"/>
    <w:autoRedefine/>
    <w:uiPriority w:val="99"/>
    <w:semiHidden/>
    <w:unhideWhenUsed/>
    <w:rsid w:val="00DF01FE"/>
    <w:pPr>
      <w:spacing w:after="0" w:line="240" w:lineRule="auto"/>
      <w:ind w:left="480" w:hanging="240"/>
    </w:pPr>
  </w:style>
  <w:style w:type="character" w:customStyle="1" w:styleId="rslang">
    <w:name w:val="rslang"/>
    <w:basedOn w:val="Standardstycketeckensnitt"/>
    <w:rsid w:val="00093501"/>
    <w:rPr>
      <w:rFonts w:cs="Times New Roman"/>
    </w:rPr>
  </w:style>
  <w:style w:type="paragraph" w:styleId="Kommentarsmne">
    <w:name w:val="annotation subject"/>
    <w:basedOn w:val="Kommentarer"/>
    <w:next w:val="Kommentarer"/>
    <w:link w:val="KommentarsmneChar"/>
    <w:uiPriority w:val="99"/>
    <w:semiHidden/>
    <w:unhideWhenUsed/>
    <w:rsid w:val="00861EED"/>
    <w:rPr>
      <w:b/>
      <w:bCs/>
    </w:rPr>
  </w:style>
  <w:style w:type="character" w:customStyle="1" w:styleId="KommentarsmneChar">
    <w:name w:val="Kommentarsämne Char"/>
    <w:basedOn w:val="KommentarerChar"/>
    <w:link w:val="Kommentarsmne"/>
    <w:uiPriority w:val="99"/>
    <w:semiHidden/>
    <w:locked/>
    <w:rsid w:val="00861EED"/>
    <w:rPr>
      <w:rFonts w:ascii="Arial" w:hAnsi="Arial" w:cs="Times New Roman"/>
      <w:b/>
      <w:bCs/>
      <w:sz w:val="20"/>
      <w:szCs w:val="20"/>
    </w:rPr>
  </w:style>
  <w:style w:type="paragraph" w:styleId="Revision">
    <w:name w:val="Revision"/>
    <w:hidden/>
    <w:uiPriority w:val="99"/>
    <w:semiHidden/>
    <w:rsid w:val="009619D0"/>
    <w:pPr>
      <w:spacing w:after="0" w:line="240" w:lineRule="auto"/>
    </w:pPr>
    <w:rPr>
      <w:rFonts w:ascii="Arial"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990844">
      <w:bodyDiv w:val="1"/>
      <w:marLeft w:val="0"/>
      <w:marRight w:val="0"/>
      <w:marTop w:val="0"/>
      <w:marBottom w:val="0"/>
      <w:divBdr>
        <w:top w:val="none" w:sz="0" w:space="0" w:color="auto"/>
        <w:left w:val="none" w:sz="0" w:space="0" w:color="auto"/>
        <w:bottom w:val="none" w:sz="0" w:space="0" w:color="auto"/>
        <w:right w:val="none" w:sz="0" w:space="0" w:color="auto"/>
      </w:divBdr>
    </w:div>
    <w:div w:id="1719085897">
      <w:marLeft w:val="0"/>
      <w:marRight w:val="0"/>
      <w:marTop w:val="0"/>
      <w:marBottom w:val="0"/>
      <w:divBdr>
        <w:top w:val="none" w:sz="0" w:space="0" w:color="auto"/>
        <w:left w:val="none" w:sz="0" w:space="0" w:color="auto"/>
        <w:bottom w:val="none" w:sz="0" w:space="0" w:color="auto"/>
        <w:right w:val="none" w:sz="0" w:space="0" w:color="auto"/>
      </w:divBdr>
    </w:div>
    <w:div w:id="1719085898">
      <w:marLeft w:val="0"/>
      <w:marRight w:val="0"/>
      <w:marTop w:val="0"/>
      <w:marBottom w:val="0"/>
      <w:divBdr>
        <w:top w:val="none" w:sz="0" w:space="0" w:color="auto"/>
        <w:left w:val="none" w:sz="0" w:space="0" w:color="auto"/>
        <w:bottom w:val="none" w:sz="0" w:space="0" w:color="auto"/>
        <w:right w:val="none" w:sz="0" w:space="0" w:color="auto"/>
      </w:divBdr>
    </w:div>
    <w:div w:id="1719085899">
      <w:marLeft w:val="0"/>
      <w:marRight w:val="0"/>
      <w:marTop w:val="0"/>
      <w:marBottom w:val="0"/>
      <w:divBdr>
        <w:top w:val="none" w:sz="0" w:space="0" w:color="auto"/>
        <w:left w:val="none" w:sz="0" w:space="0" w:color="auto"/>
        <w:bottom w:val="none" w:sz="0" w:space="0" w:color="auto"/>
        <w:right w:val="none" w:sz="0" w:space="0" w:color="auto"/>
      </w:divBdr>
    </w:div>
    <w:div w:id="1719085900">
      <w:marLeft w:val="0"/>
      <w:marRight w:val="0"/>
      <w:marTop w:val="0"/>
      <w:marBottom w:val="0"/>
      <w:divBdr>
        <w:top w:val="none" w:sz="0" w:space="0" w:color="auto"/>
        <w:left w:val="none" w:sz="0" w:space="0" w:color="auto"/>
        <w:bottom w:val="none" w:sz="0" w:space="0" w:color="auto"/>
        <w:right w:val="none" w:sz="0" w:space="0" w:color="auto"/>
      </w:divBdr>
    </w:div>
    <w:div w:id="17190859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ke.grotlueschen@uni-hamburg.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nke\Documents\3aa%20PIAAC%20Thematic%20Report%20Low%20Skilled%20Adults\Von%20Francois%20OECD%202015\Originaldaten\trust_and_volunt.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nke\Documents\3aa%20PIAAC%20Thematic%20Report%20Low%20Skilled%20Adults\Von%20Francois%20OECD%202015\Originaldaten\trust_and_volunt.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Anke\Documents\3aa%20PIAAC%20Thematic%20Report%20Low%20Skilled%20Adults\Von%20Francois%20OECD%202015\Originaldaten\trust_and_volunt.xls"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de-DE" sz="1600" b="0" i="0" u="none" strike="noStrike" baseline="0">
                <a:effectLst/>
              </a:rPr>
              <a:t>Political Efficacy: Question: "</a:t>
            </a:r>
            <a:r>
              <a:rPr lang="en-US" sz="1600" b="0" i="0" u="none" strike="noStrike" baseline="0">
                <a:effectLst/>
              </a:rPr>
              <a:t>People like me don't have any say about what the government does."</a:t>
            </a:r>
            <a:r>
              <a:rPr lang="de-DE" sz="1800" b="0" i="0" u="none" strike="noStrike" baseline="0">
                <a:effectLst/>
              </a:rPr>
              <a:t> </a:t>
            </a:r>
          </a:p>
        </c:rich>
      </c:tx>
      <c:overlay val="0"/>
    </c:title>
    <c:autoTitleDeleted val="0"/>
    <c:plotArea>
      <c:layout/>
      <c:barChart>
        <c:barDir val="col"/>
        <c:grouping val="clustered"/>
        <c:varyColors val="0"/>
        <c:ser>
          <c:idx val="0"/>
          <c:order val="0"/>
          <c:tx>
            <c:strRef>
              <c:f>i_q06a_by_lit.!$AF$11</c:f>
              <c:strCache>
                <c:ptCount val="1"/>
                <c:pt idx="0">
                  <c:v>Level 1 and below Top Two</c:v>
                </c:pt>
              </c:strCache>
            </c:strRef>
          </c:tx>
          <c:invertIfNegative val="0"/>
          <c:dPt>
            <c:idx val="10"/>
            <c:invertIfNegative val="0"/>
            <c:bubble3D val="0"/>
            <c:spPr>
              <a:solidFill>
                <a:srgbClr val="FF0000"/>
              </a:solidFill>
            </c:spPr>
            <c:extLst>
              <c:ext xmlns:c16="http://schemas.microsoft.com/office/drawing/2014/chart" uri="{C3380CC4-5D6E-409C-BE32-E72D297353CC}">
                <c16:uniqueId val="{00000001-820A-4D7C-A17A-2B18E514E788}"/>
              </c:ext>
            </c:extLst>
          </c:dPt>
          <c:dPt>
            <c:idx val="18"/>
            <c:invertIfNegative val="0"/>
            <c:bubble3D val="0"/>
            <c:spPr>
              <a:solidFill>
                <a:srgbClr val="FF0000"/>
              </a:solidFill>
            </c:spPr>
            <c:extLst>
              <c:ext xmlns:c16="http://schemas.microsoft.com/office/drawing/2014/chart" uri="{C3380CC4-5D6E-409C-BE32-E72D297353CC}">
                <c16:uniqueId val="{00000003-820A-4D7C-A17A-2B18E514E788}"/>
              </c:ext>
            </c:extLst>
          </c:dPt>
          <c:dPt>
            <c:idx val="24"/>
            <c:invertIfNegative val="0"/>
            <c:bubble3D val="0"/>
            <c:spPr>
              <a:solidFill>
                <a:srgbClr val="FF0000"/>
              </a:solidFill>
            </c:spPr>
            <c:extLst>
              <c:ext xmlns:c16="http://schemas.microsoft.com/office/drawing/2014/chart" uri="{C3380CC4-5D6E-409C-BE32-E72D297353CC}">
                <c16:uniqueId val="{00000005-820A-4D7C-A17A-2B18E514E788}"/>
              </c:ext>
            </c:extLst>
          </c:dPt>
          <c:cat>
            <c:strRef>
              <c:f>i_q06a_by_lit.!$AE$12:$AE$38</c:f>
              <c:strCache>
                <c:ptCount val="27"/>
                <c:pt idx="0">
                  <c:v>Cyprus</c:v>
                </c:pt>
                <c:pt idx="1">
                  <c:v>Russian Federation</c:v>
                </c:pt>
                <c:pt idx="2">
                  <c:v>Denmark</c:v>
                </c:pt>
                <c:pt idx="3">
                  <c:v>Finland</c:v>
                </c:pt>
                <c:pt idx="4">
                  <c:v>Sweden</c:v>
                </c:pt>
                <c:pt idx="5">
                  <c:v>United States</c:v>
                </c:pt>
                <c:pt idx="6">
                  <c:v>Norway</c:v>
                </c:pt>
                <c:pt idx="7">
                  <c:v>Korea</c:v>
                </c:pt>
                <c:pt idx="8">
                  <c:v>Canada</c:v>
                </c:pt>
                <c:pt idx="9">
                  <c:v>Japan</c:v>
                </c:pt>
                <c:pt idx="10">
                  <c:v>Poland</c:v>
                </c:pt>
                <c:pt idx="11">
                  <c:v>Australia</c:v>
                </c:pt>
                <c:pt idx="12">
                  <c:v>Netherlands</c:v>
                </c:pt>
                <c:pt idx="13">
                  <c:v>International average</c:v>
                </c:pt>
                <c:pt idx="14">
                  <c:v>England</c:v>
                </c:pt>
                <c:pt idx="15">
                  <c:v>England/N. Ireland</c:v>
                </c:pt>
                <c:pt idx="16">
                  <c:v>Flanders</c:v>
                </c:pt>
                <c:pt idx="17">
                  <c:v>Spain</c:v>
                </c:pt>
                <c:pt idx="18">
                  <c:v>Germany</c:v>
                </c:pt>
                <c:pt idx="19">
                  <c:v>Estonia</c:v>
                </c:pt>
                <c:pt idx="20">
                  <c:v>Ireland</c:v>
                </c:pt>
                <c:pt idx="21">
                  <c:v>Austria</c:v>
                </c:pt>
                <c:pt idx="22">
                  <c:v>Northern Ireland</c:v>
                </c:pt>
                <c:pt idx="23">
                  <c:v>Czech Republic</c:v>
                </c:pt>
                <c:pt idx="24">
                  <c:v>France</c:v>
                </c:pt>
                <c:pt idx="25">
                  <c:v>Slovak Republic</c:v>
                </c:pt>
                <c:pt idx="26">
                  <c:v>Italy</c:v>
                </c:pt>
              </c:strCache>
            </c:strRef>
          </c:cat>
          <c:val>
            <c:numRef>
              <c:f>i_q06a_by_lit.!$AF$12:$AF$38</c:f>
              <c:numCache>
                <c:formatCode>General</c:formatCode>
                <c:ptCount val="27"/>
                <c:pt idx="0">
                  <c:v>14.7</c:v>
                </c:pt>
                <c:pt idx="1">
                  <c:v>40.4</c:v>
                </c:pt>
                <c:pt idx="2">
                  <c:v>45.3</c:v>
                </c:pt>
                <c:pt idx="3">
                  <c:v>46.6</c:v>
                </c:pt>
                <c:pt idx="4">
                  <c:v>46.9</c:v>
                </c:pt>
                <c:pt idx="5">
                  <c:v>48.6</c:v>
                </c:pt>
                <c:pt idx="6">
                  <c:v>51.3</c:v>
                </c:pt>
                <c:pt idx="7">
                  <c:v>52.8</c:v>
                </c:pt>
                <c:pt idx="8">
                  <c:v>56.2</c:v>
                </c:pt>
                <c:pt idx="9">
                  <c:v>58.9</c:v>
                </c:pt>
                <c:pt idx="10">
                  <c:v>59.4</c:v>
                </c:pt>
                <c:pt idx="11">
                  <c:v>59.6</c:v>
                </c:pt>
                <c:pt idx="12">
                  <c:v>59.8</c:v>
                </c:pt>
                <c:pt idx="13">
                  <c:v>61.1</c:v>
                </c:pt>
                <c:pt idx="14">
                  <c:v>61.4</c:v>
                </c:pt>
                <c:pt idx="15">
                  <c:v>61.8</c:v>
                </c:pt>
                <c:pt idx="16">
                  <c:v>63.4</c:v>
                </c:pt>
                <c:pt idx="17">
                  <c:v>64.7</c:v>
                </c:pt>
                <c:pt idx="18">
                  <c:v>65.099999999999994</c:v>
                </c:pt>
                <c:pt idx="19">
                  <c:v>67.7</c:v>
                </c:pt>
                <c:pt idx="20">
                  <c:v>67.8</c:v>
                </c:pt>
                <c:pt idx="21">
                  <c:v>68.2</c:v>
                </c:pt>
                <c:pt idx="22">
                  <c:v>71.2</c:v>
                </c:pt>
                <c:pt idx="23">
                  <c:v>71.599999999999994</c:v>
                </c:pt>
                <c:pt idx="24">
                  <c:v>72.5</c:v>
                </c:pt>
                <c:pt idx="25">
                  <c:v>75.8</c:v>
                </c:pt>
                <c:pt idx="26">
                  <c:v>80.3</c:v>
                </c:pt>
              </c:numCache>
            </c:numRef>
          </c:val>
          <c:extLst>
            <c:ext xmlns:c16="http://schemas.microsoft.com/office/drawing/2014/chart" uri="{C3380CC4-5D6E-409C-BE32-E72D297353CC}">
              <c16:uniqueId val="{00000006-820A-4D7C-A17A-2B18E514E788}"/>
            </c:ext>
          </c:extLst>
        </c:ser>
        <c:ser>
          <c:idx val="1"/>
          <c:order val="1"/>
          <c:tx>
            <c:strRef>
              <c:f>i_q06a_by_lit.!$AG$11</c:f>
              <c:strCache>
                <c:ptCount val="1"/>
                <c:pt idx="0">
                  <c:v>Level 4 and above Top Two</c:v>
                </c:pt>
              </c:strCache>
            </c:strRef>
          </c:tx>
          <c:spPr>
            <a:solidFill>
              <a:schemeClr val="tx2">
                <a:lumMod val="75000"/>
              </a:schemeClr>
            </a:solidFill>
          </c:spPr>
          <c:invertIfNegative val="0"/>
          <c:cat>
            <c:strRef>
              <c:f>i_q06a_by_lit.!$AE$12:$AE$38</c:f>
              <c:strCache>
                <c:ptCount val="27"/>
                <c:pt idx="0">
                  <c:v>Cyprus</c:v>
                </c:pt>
                <c:pt idx="1">
                  <c:v>Russian Federation</c:v>
                </c:pt>
                <c:pt idx="2">
                  <c:v>Denmark</c:v>
                </c:pt>
                <c:pt idx="3">
                  <c:v>Finland</c:v>
                </c:pt>
                <c:pt idx="4">
                  <c:v>Sweden</c:v>
                </c:pt>
                <c:pt idx="5">
                  <c:v>United States</c:v>
                </c:pt>
                <c:pt idx="6">
                  <c:v>Norway</c:v>
                </c:pt>
                <c:pt idx="7">
                  <c:v>Korea</c:v>
                </c:pt>
                <c:pt idx="8">
                  <c:v>Canada</c:v>
                </c:pt>
                <c:pt idx="9">
                  <c:v>Japan</c:v>
                </c:pt>
                <c:pt idx="10">
                  <c:v>Poland</c:v>
                </c:pt>
                <c:pt idx="11">
                  <c:v>Australia</c:v>
                </c:pt>
                <c:pt idx="12">
                  <c:v>Netherlands</c:v>
                </c:pt>
                <c:pt idx="13">
                  <c:v>International average</c:v>
                </c:pt>
                <c:pt idx="14">
                  <c:v>England</c:v>
                </c:pt>
                <c:pt idx="15">
                  <c:v>England/N. Ireland</c:v>
                </c:pt>
                <c:pt idx="16">
                  <c:v>Flanders</c:v>
                </c:pt>
                <c:pt idx="17">
                  <c:v>Spain</c:v>
                </c:pt>
                <c:pt idx="18">
                  <c:v>Germany</c:v>
                </c:pt>
                <c:pt idx="19">
                  <c:v>Estonia</c:v>
                </c:pt>
                <c:pt idx="20">
                  <c:v>Ireland</c:v>
                </c:pt>
                <c:pt idx="21">
                  <c:v>Austria</c:v>
                </c:pt>
                <c:pt idx="22">
                  <c:v>Northern Ireland</c:v>
                </c:pt>
                <c:pt idx="23">
                  <c:v>Czech Republic</c:v>
                </c:pt>
                <c:pt idx="24">
                  <c:v>France</c:v>
                </c:pt>
                <c:pt idx="25">
                  <c:v>Slovak Republic</c:v>
                </c:pt>
                <c:pt idx="26">
                  <c:v>Italy</c:v>
                </c:pt>
              </c:strCache>
            </c:strRef>
          </c:cat>
          <c:val>
            <c:numRef>
              <c:f>i_q06a_by_lit.!$AG$12:$AG$38</c:f>
              <c:numCache>
                <c:formatCode>General</c:formatCode>
                <c:ptCount val="27"/>
                <c:pt idx="0">
                  <c:v>0</c:v>
                </c:pt>
                <c:pt idx="1">
                  <c:v>13.5</c:v>
                </c:pt>
                <c:pt idx="2">
                  <c:v>22.5</c:v>
                </c:pt>
                <c:pt idx="3">
                  <c:v>20.9</c:v>
                </c:pt>
                <c:pt idx="4">
                  <c:v>19.2</c:v>
                </c:pt>
                <c:pt idx="5" formatCode="0.0">
                  <c:v>21.2</c:v>
                </c:pt>
                <c:pt idx="6">
                  <c:v>20.100000000000001</c:v>
                </c:pt>
                <c:pt idx="7">
                  <c:v>25.2</c:v>
                </c:pt>
                <c:pt idx="8">
                  <c:v>31.5</c:v>
                </c:pt>
                <c:pt idx="9">
                  <c:v>38.700000000000003</c:v>
                </c:pt>
                <c:pt idx="10">
                  <c:v>30.7</c:v>
                </c:pt>
                <c:pt idx="11">
                  <c:v>31</c:v>
                </c:pt>
                <c:pt idx="12">
                  <c:v>24.6</c:v>
                </c:pt>
                <c:pt idx="13">
                  <c:v>33.700000000000003</c:v>
                </c:pt>
                <c:pt idx="14">
                  <c:v>31.2</c:v>
                </c:pt>
                <c:pt idx="15">
                  <c:v>31.5</c:v>
                </c:pt>
                <c:pt idx="16">
                  <c:v>32.5</c:v>
                </c:pt>
                <c:pt idx="17">
                  <c:v>49.4</c:v>
                </c:pt>
                <c:pt idx="18">
                  <c:v>23.1</c:v>
                </c:pt>
                <c:pt idx="19">
                  <c:v>30.6</c:v>
                </c:pt>
                <c:pt idx="20">
                  <c:v>44.7</c:v>
                </c:pt>
                <c:pt idx="21">
                  <c:v>44.1</c:v>
                </c:pt>
                <c:pt idx="22">
                  <c:v>44.9</c:v>
                </c:pt>
                <c:pt idx="23">
                  <c:v>44.8</c:v>
                </c:pt>
                <c:pt idx="24">
                  <c:v>56.4</c:v>
                </c:pt>
                <c:pt idx="25">
                  <c:v>49.7</c:v>
                </c:pt>
                <c:pt idx="26">
                  <c:v>49.5</c:v>
                </c:pt>
              </c:numCache>
            </c:numRef>
          </c:val>
          <c:extLst>
            <c:ext xmlns:c16="http://schemas.microsoft.com/office/drawing/2014/chart" uri="{C3380CC4-5D6E-409C-BE32-E72D297353CC}">
              <c16:uniqueId val="{00000007-820A-4D7C-A17A-2B18E514E788}"/>
            </c:ext>
          </c:extLst>
        </c:ser>
        <c:dLbls>
          <c:showLegendKey val="0"/>
          <c:showVal val="0"/>
          <c:showCatName val="0"/>
          <c:showSerName val="0"/>
          <c:showPercent val="0"/>
          <c:showBubbleSize val="0"/>
        </c:dLbls>
        <c:gapWidth val="75"/>
        <c:overlap val="-25"/>
        <c:axId val="135878528"/>
        <c:axId val="135880064"/>
      </c:barChart>
      <c:catAx>
        <c:axId val="135878528"/>
        <c:scaling>
          <c:orientation val="minMax"/>
        </c:scaling>
        <c:delete val="0"/>
        <c:axPos val="b"/>
        <c:numFmt formatCode="General" sourceLinked="0"/>
        <c:majorTickMark val="none"/>
        <c:minorTickMark val="none"/>
        <c:tickLblPos val="nextTo"/>
        <c:crossAx val="135880064"/>
        <c:crosses val="autoZero"/>
        <c:auto val="1"/>
        <c:lblAlgn val="ctr"/>
        <c:lblOffset val="100"/>
        <c:noMultiLvlLbl val="0"/>
      </c:catAx>
      <c:valAx>
        <c:axId val="135880064"/>
        <c:scaling>
          <c:orientation val="minMax"/>
        </c:scaling>
        <c:delete val="0"/>
        <c:axPos val="l"/>
        <c:majorGridlines/>
        <c:numFmt formatCode="General" sourceLinked="1"/>
        <c:majorTickMark val="none"/>
        <c:minorTickMark val="none"/>
        <c:tickLblPos val="nextTo"/>
        <c:spPr>
          <a:ln w="9525">
            <a:noFill/>
          </a:ln>
        </c:spPr>
        <c:crossAx val="135878528"/>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de-DE" sz="1600" b="0" i="0" u="none" strike="noStrike" baseline="0">
                <a:effectLst/>
              </a:rPr>
              <a:t>Social Trust:</a:t>
            </a:r>
            <a:br>
              <a:rPr lang="de-DE" sz="1600" b="0" i="0" u="none" strike="noStrike" baseline="0">
                <a:effectLst/>
              </a:rPr>
            </a:br>
            <a:r>
              <a:rPr lang="de-DE" sz="1600" b="0" i="0" u="none" strike="noStrike" baseline="0">
                <a:effectLst/>
              </a:rPr>
              <a:t>Question: "</a:t>
            </a:r>
            <a:r>
              <a:rPr lang="en-US" sz="1600" b="0" i="0" u="none" strike="noStrike" baseline="0">
                <a:effectLst/>
              </a:rPr>
              <a:t>There are only a few people you can trust completely."</a:t>
            </a:r>
            <a:endParaRPr lang="de-DE" sz="1600" b="0"/>
          </a:p>
        </c:rich>
      </c:tx>
      <c:overlay val="0"/>
    </c:title>
    <c:autoTitleDeleted val="0"/>
    <c:plotArea>
      <c:layout/>
      <c:barChart>
        <c:barDir val="col"/>
        <c:grouping val="clustered"/>
        <c:varyColors val="0"/>
        <c:ser>
          <c:idx val="0"/>
          <c:order val="0"/>
          <c:tx>
            <c:strRef>
              <c:f>i_q07a_by_lit.!$Q$8</c:f>
              <c:strCache>
                <c:ptCount val="1"/>
                <c:pt idx="0">
                  <c:v>Top Two Level 1 und darunter</c:v>
                </c:pt>
              </c:strCache>
            </c:strRef>
          </c:tx>
          <c:invertIfNegative val="0"/>
          <c:dPt>
            <c:idx val="10"/>
            <c:invertIfNegative val="0"/>
            <c:bubble3D val="0"/>
            <c:spPr>
              <a:solidFill>
                <a:srgbClr val="FF0000"/>
              </a:solidFill>
            </c:spPr>
            <c:extLst>
              <c:ext xmlns:c16="http://schemas.microsoft.com/office/drawing/2014/chart" uri="{C3380CC4-5D6E-409C-BE32-E72D297353CC}">
                <c16:uniqueId val="{00000001-B49F-450C-8F2D-53B4B794B0DD}"/>
              </c:ext>
            </c:extLst>
          </c:dPt>
          <c:dPt>
            <c:idx val="16"/>
            <c:invertIfNegative val="0"/>
            <c:bubble3D val="0"/>
            <c:spPr>
              <a:solidFill>
                <a:srgbClr val="FF0000"/>
              </a:solidFill>
            </c:spPr>
            <c:extLst>
              <c:ext xmlns:c16="http://schemas.microsoft.com/office/drawing/2014/chart" uri="{C3380CC4-5D6E-409C-BE32-E72D297353CC}">
                <c16:uniqueId val="{00000003-B49F-450C-8F2D-53B4B794B0DD}"/>
              </c:ext>
            </c:extLst>
          </c:dPt>
          <c:dPt>
            <c:idx val="23"/>
            <c:invertIfNegative val="0"/>
            <c:bubble3D val="0"/>
            <c:spPr>
              <a:solidFill>
                <a:srgbClr val="FF0000"/>
              </a:solidFill>
            </c:spPr>
            <c:extLst>
              <c:ext xmlns:c16="http://schemas.microsoft.com/office/drawing/2014/chart" uri="{C3380CC4-5D6E-409C-BE32-E72D297353CC}">
                <c16:uniqueId val="{00000005-B49F-450C-8F2D-53B4B794B0DD}"/>
              </c:ext>
            </c:extLst>
          </c:dPt>
          <c:cat>
            <c:strRef>
              <c:f>i_q07a_by_lit.!$P$9:$P$35</c:f>
              <c:strCache>
                <c:ptCount val="27"/>
                <c:pt idx="0">
                  <c:v>Denmark</c:v>
                </c:pt>
                <c:pt idx="1">
                  <c:v>Sweden</c:v>
                </c:pt>
                <c:pt idx="2">
                  <c:v>Netherlands</c:v>
                </c:pt>
                <c:pt idx="3">
                  <c:v>Finland</c:v>
                </c:pt>
                <c:pt idx="4">
                  <c:v>Russian Federation</c:v>
                </c:pt>
                <c:pt idx="5">
                  <c:v>Japan</c:v>
                </c:pt>
                <c:pt idx="6">
                  <c:v>Norway</c:v>
                </c:pt>
                <c:pt idx="7">
                  <c:v>Spain</c:v>
                </c:pt>
                <c:pt idx="8">
                  <c:v>Canada</c:v>
                </c:pt>
                <c:pt idx="9">
                  <c:v>Korea</c:v>
                </c:pt>
                <c:pt idx="10">
                  <c:v>Germany</c:v>
                </c:pt>
                <c:pt idx="11">
                  <c:v>Austria</c:v>
                </c:pt>
                <c:pt idx="12">
                  <c:v>United States</c:v>
                </c:pt>
                <c:pt idx="13">
                  <c:v>International Average</c:v>
                </c:pt>
                <c:pt idx="14">
                  <c:v>Flanders</c:v>
                </c:pt>
                <c:pt idx="15">
                  <c:v>Northern Ireland</c:v>
                </c:pt>
                <c:pt idx="16">
                  <c:v>Poland</c:v>
                </c:pt>
                <c:pt idx="17">
                  <c:v>Australia</c:v>
                </c:pt>
                <c:pt idx="18">
                  <c:v>England/N. Ireland</c:v>
                </c:pt>
                <c:pt idx="19">
                  <c:v>England</c:v>
                </c:pt>
                <c:pt idx="20">
                  <c:v>Ireland</c:v>
                </c:pt>
                <c:pt idx="21">
                  <c:v>Estonia</c:v>
                </c:pt>
                <c:pt idx="22">
                  <c:v>Slovak Republic</c:v>
                </c:pt>
                <c:pt idx="23">
                  <c:v>France</c:v>
                </c:pt>
                <c:pt idx="24">
                  <c:v>Italy</c:v>
                </c:pt>
                <c:pt idx="25">
                  <c:v>Czech Republic</c:v>
                </c:pt>
                <c:pt idx="26">
                  <c:v>Cyprus</c:v>
                </c:pt>
              </c:strCache>
            </c:strRef>
          </c:cat>
          <c:val>
            <c:numRef>
              <c:f>i_q07a_by_lit.!$Q$9:$Q$35</c:f>
              <c:numCache>
                <c:formatCode>General</c:formatCode>
                <c:ptCount val="27"/>
                <c:pt idx="0">
                  <c:v>58.7</c:v>
                </c:pt>
                <c:pt idx="1">
                  <c:v>69.7</c:v>
                </c:pt>
                <c:pt idx="2">
                  <c:v>70.099999999999994</c:v>
                </c:pt>
                <c:pt idx="3">
                  <c:v>70.2</c:v>
                </c:pt>
                <c:pt idx="4">
                  <c:v>70.5</c:v>
                </c:pt>
                <c:pt idx="5">
                  <c:v>71.3</c:v>
                </c:pt>
                <c:pt idx="6">
                  <c:v>71.3</c:v>
                </c:pt>
                <c:pt idx="7">
                  <c:v>72.5</c:v>
                </c:pt>
                <c:pt idx="8">
                  <c:v>73.900000000000006</c:v>
                </c:pt>
                <c:pt idx="9">
                  <c:v>74.2</c:v>
                </c:pt>
                <c:pt idx="10">
                  <c:v>75.8</c:v>
                </c:pt>
                <c:pt idx="11">
                  <c:v>76</c:v>
                </c:pt>
                <c:pt idx="12">
                  <c:v>76.3</c:v>
                </c:pt>
                <c:pt idx="13">
                  <c:v>76.8</c:v>
                </c:pt>
                <c:pt idx="14">
                  <c:v>77.5</c:v>
                </c:pt>
                <c:pt idx="15">
                  <c:v>80.2</c:v>
                </c:pt>
                <c:pt idx="16">
                  <c:v>80.2</c:v>
                </c:pt>
                <c:pt idx="17">
                  <c:v>80.5</c:v>
                </c:pt>
                <c:pt idx="18">
                  <c:v>81.099999999999994</c:v>
                </c:pt>
                <c:pt idx="19">
                  <c:v>81.2</c:v>
                </c:pt>
                <c:pt idx="20">
                  <c:v>82.9</c:v>
                </c:pt>
                <c:pt idx="21">
                  <c:v>83.3</c:v>
                </c:pt>
                <c:pt idx="22">
                  <c:v>84.5</c:v>
                </c:pt>
                <c:pt idx="23">
                  <c:v>85</c:v>
                </c:pt>
                <c:pt idx="24">
                  <c:v>85.8</c:v>
                </c:pt>
                <c:pt idx="25">
                  <c:v>89.5</c:v>
                </c:pt>
                <c:pt idx="26">
                  <c:v>91.3</c:v>
                </c:pt>
              </c:numCache>
            </c:numRef>
          </c:val>
          <c:extLst>
            <c:ext xmlns:c16="http://schemas.microsoft.com/office/drawing/2014/chart" uri="{C3380CC4-5D6E-409C-BE32-E72D297353CC}">
              <c16:uniqueId val="{00000006-B49F-450C-8F2D-53B4B794B0DD}"/>
            </c:ext>
          </c:extLst>
        </c:ser>
        <c:ser>
          <c:idx val="1"/>
          <c:order val="1"/>
          <c:tx>
            <c:strRef>
              <c:f>i_q07a_by_lit.!$R$8</c:f>
              <c:strCache>
                <c:ptCount val="1"/>
                <c:pt idx="0">
                  <c:v>Top Two Level 4 und darüber</c:v>
                </c:pt>
              </c:strCache>
            </c:strRef>
          </c:tx>
          <c:spPr>
            <a:solidFill>
              <a:schemeClr val="tx2">
                <a:lumMod val="75000"/>
              </a:schemeClr>
            </a:solidFill>
          </c:spPr>
          <c:invertIfNegative val="0"/>
          <c:cat>
            <c:strRef>
              <c:f>i_q07a_by_lit.!$P$9:$P$35</c:f>
              <c:strCache>
                <c:ptCount val="27"/>
                <c:pt idx="0">
                  <c:v>Denmark</c:v>
                </c:pt>
                <c:pt idx="1">
                  <c:v>Sweden</c:v>
                </c:pt>
                <c:pt idx="2">
                  <c:v>Netherlands</c:v>
                </c:pt>
                <c:pt idx="3">
                  <c:v>Finland</c:v>
                </c:pt>
                <c:pt idx="4">
                  <c:v>Russian Federation</c:v>
                </c:pt>
                <c:pt idx="5">
                  <c:v>Japan</c:v>
                </c:pt>
                <c:pt idx="6">
                  <c:v>Norway</c:v>
                </c:pt>
                <c:pt idx="7">
                  <c:v>Spain</c:v>
                </c:pt>
                <c:pt idx="8">
                  <c:v>Canada</c:v>
                </c:pt>
                <c:pt idx="9">
                  <c:v>Korea</c:v>
                </c:pt>
                <c:pt idx="10">
                  <c:v>Germany</c:v>
                </c:pt>
                <c:pt idx="11">
                  <c:v>Austria</c:v>
                </c:pt>
                <c:pt idx="12">
                  <c:v>United States</c:v>
                </c:pt>
                <c:pt idx="13">
                  <c:v>International Average</c:v>
                </c:pt>
                <c:pt idx="14">
                  <c:v>Flanders</c:v>
                </c:pt>
                <c:pt idx="15">
                  <c:v>Northern Ireland</c:v>
                </c:pt>
                <c:pt idx="16">
                  <c:v>Poland</c:v>
                </c:pt>
                <c:pt idx="17">
                  <c:v>Australia</c:v>
                </c:pt>
                <c:pt idx="18">
                  <c:v>England/N. Ireland</c:v>
                </c:pt>
                <c:pt idx="19">
                  <c:v>England</c:v>
                </c:pt>
                <c:pt idx="20">
                  <c:v>Ireland</c:v>
                </c:pt>
                <c:pt idx="21">
                  <c:v>Estonia</c:v>
                </c:pt>
                <c:pt idx="22">
                  <c:v>Slovak Republic</c:v>
                </c:pt>
                <c:pt idx="23">
                  <c:v>France</c:v>
                </c:pt>
                <c:pt idx="24">
                  <c:v>Italy</c:v>
                </c:pt>
                <c:pt idx="25">
                  <c:v>Czech Republic</c:v>
                </c:pt>
                <c:pt idx="26">
                  <c:v>Cyprus</c:v>
                </c:pt>
              </c:strCache>
            </c:strRef>
          </c:cat>
          <c:val>
            <c:numRef>
              <c:f>i_q07a_by_lit.!$R$9:$R$35</c:f>
              <c:numCache>
                <c:formatCode>General</c:formatCode>
                <c:ptCount val="27"/>
                <c:pt idx="0">
                  <c:v>27.1</c:v>
                </c:pt>
                <c:pt idx="1">
                  <c:v>41.8</c:v>
                </c:pt>
                <c:pt idx="2">
                  <c:v>43.2</c:v>
                </c:pt>
                <c:pt idx="3">
                  <c:v>48.9</c:v>
                </c:pt>
                <c:pt idx="4">
                  <c:v>65.2</c:v>
                </c:pt>
                <c:pt idx="5">
                  <c:v>65.599999999999994</c:v>
                </c:pt>
                <c:pt idx="6">
                  <c:v>40.299999999999997</c:v>
                </c:pt>
                <c:pt idx="7">
                  <c:v>58.4</c:v>
                </c:pt>
                <c:pt idx="8">
                  <c:v>52.7</c:v>
                </c:pt>
                <c:pt idx="9">
                  <c:v>66</c:v>
                </c:pt>
                <c:pt idx="10">
                  <c:v>50.7</c:v>
                </c:pt>
                <c:pt idx="11">
                  <c:v>53.3</c:v>
                </c:pt>
                <c:pt idx="12">
                  <c:v>53.7</c:v>
                </c:pt>
                <c:pt idx="13">
                  <c:v>57.5</c:v>
                </c:pt>
                <c:pt idx="14">
                  <c:v>63.4</c:v>
                </c:pt>
                <c:pt idx="15">
                  <c:v>64.5</c:v>
                </c:pt>
                <c:pt idx="16">
                  <c:v>57.5</c:v>
                </c:pt>
                <c:pt idx="17">
                  <c:v>51.3</c:v>
                </c:pt>
                <c:pt idx="18">
                  <c:v>56</c:v>
                </c:pt>
                <c:pt idx="19">
                  <c:v>55.7</c:v>
                </c:pt>
                <c:pt idx="20">
                  <c:v>65.599999999999994</c:v>
                </c:pt>
                <c:pt idx="21">
                  <c:v>75.7</c:v>
                </c:pt>
                <c:pt idx="22">
                  <c:v>77.5</c:v>
                </c:pt>
                <c:pt idx="23">
                  <c:v>70.599999999999994</c:v>
                </c:pt>
                <c:pt idx="24">
                  <c:v>72.3</c:v>
                </c:pt>
                <c:pt idx="25">
                  <c:v>73</c:v>
                </c:pt>
                <c:pt idx="26">
                  <c:v>91.6</c:v>
                </c:pt>
              </c:numCache>
            </c:numRef>
          </c:val>
          <c:extLst>
            <c:ext xmlns:c16="http://schemas.microsoft.com/office/drawing/2014/chart" uri="{C3380CC4-5D6E-409C-BE32-E72D297353CC}">
              <c16:uniqueId val="{00000007-B49F-450C-8F2D-53B4B794B0DD}"/>
            </c:ext>
          </c:extLst>
        </c:ser>
        <c:dLbls>
          <c:showLegendKey val="0"/>
          <c:showVal val="0"/>
          <c:showCatName val="0"/>
          <c:showSerName val="0"/>
          <c:showPercent val="0"/>
          <c:showBubbleSize val="0"/>
        </c:dLbls>
        <c:gapWidth val="75"/>
        <c:overlap val="-25"/>
        <c:axId val="135858432"/>
        <c:axId val="135868416"/>
      </c:barChart>
      <c:catAx>
        <c:axId val="135858432"/>
        <c:scaling>
          <c:orientation val="minMax"/>
        </c:scaling>
        <c:delete val="0"/>
        <c:axPos val="b"/>
        <c:numFmt formatCode="General" sourceLinked="0"/>
        <c:majorTickMark val="none"/>
        <c:minorTickMark val="none"/>
        <c:tickLblPos val="nextTo"/>
        <c:crossAx val="135868416"/>
        <c:crosses val="autoZero"/>
        <c:auto val="1"/>
        <c:lblAlgn val="ctr"/>
        <c:lblOffset val="100"/>
        <c:noMultiLvlLbl val="0"/>
      </c:catAx>
      <c:valAx>
        <c:axId val="135868416"/>
        <c:scaling>
          <c:orientation val="minMax"/>
        </c:scaling>
        <c:delete val="0"/>
        <c:axPos val="l"/>
        <c:majorGridlines/>
        <c:numFmt formatCode="General" sourceLinked="1"/>
        <c:majorTickMark val="none"/>
        <c:minorTickMark val="none"/>
        <c:tickLblPos val="nextTo"/>
        <c:spPr>
          <a:ln w="9525">
            <a:noFill/>
          </a:ln>
        </c:spPr>
        <c:crossAx val="135858432"/>
        <c:crosses val="autoZero"/>
        <c:crossBetween val="between"/>
      </c:valAx>
    </c:plotArea>
    <c:legend>
      <c:legendPos val="b"/>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de-DE" sz="1400" b="0" i="0" u="none" strike="noStrike" baseline="0">
                <a:effectLst/>
              </a:rPr>
              <a:t>Volunteering</a:t>
            </a:r>
            <a:br>
              <a:rPr lang="de-DE" sz="1100" b="0" i="0" u="none" strike="noStrike" baseline="0">
                <a:effectLst/>
              </a:rPr>
            </a:br>
            <a:r>
              <a:rPr lang="de-DE" sz="1000" b="0" i="0" u="none" strike="noStrike" baseline="0">
                <a:effectLst/>
              </a:rPr>
              <a:t>Question: </a:t>
            </a:r>
            <a:r>
              <a:rPr lang="en-US" sz="1000" b="0" i="0" u="none" strike="noStrike" baseline="0">
                <a:effectLst/>
              </a:rPr>
              <a:t>„In the last 12 months, how often, if at all, did you do voluntary work, including unpaid work for a charity, political party, trade union or other non-profit organization?“</a:t>
            </a:r>
            <a:endParaRPr lang="de-DE" sz="1000" b="0"/>
          </a:p>
        </c:rich>
      </c:tx>
      <c:overlay val="0"/>
    </c:title>
    <c:autoTitleDeleted val="0"/>
    <c:plotArea>
      <c:layout/>
      <c:barChart>
        <c:barDir val="col"/>
        <c:grouping val="clustered"/>
        <c:varyColors val="0"/>
        <c:ser>
          <c:idx val="0"/>
          <c:order val="0"/>
          <c:tx>
            <c:strRef>
              <c:f>[trust_and_volunt.xls]i_q05f_by_lit.!$Q$23</c:f>
              <c:strCache>
                <c:ptCount val="1"/>
                <c:pt idx="0">
                  <c:v>Level 1 and below</c:v>
                </c:pt>
              </c:strCache>
            </c:strRef>
          </c:tx>
          <c:invertIfNegative val="0"/>
          <c:dPt>
            <c:idx val="15"/>
            <c:invertIfNegative val="0"/>
            <c:bubble3D val="0"/>
            <c:spPr>
              <a:solidFill>
                <a:srgbClr val="FF0000"/>
              </a:solidFill>
            </c:spPr>
            <c:extLst>
              <c:ext xmlns:c16="http://schemas.microsoft.com/office/drawing/2014/chart" uri="{C3380CC4-5D6E-409C-BE32-E72D297353CC}">
                <c16:uniqueId val="{00000001-993B-4A80-BF2A-6FEED40EC97A}"/>
              </c:ext>
            </c:extLst>
          </c:dPt>
          <c:dPt>
            <c:idx val="22"/>
            <c:invertIfNegative val="0"/>
            <c:bubble3D val="0"/>
            <c:spPr>
              <a:solidFill>
                <a:srgbClr val="FF0000"/>
              </a:solidFill>
            </c:spPr>
            <c:extLst>
              <c:ext xmlns:c16="http://schemas.microsoft.com/office/drawing/2014/chart" uri="{C3380CC4-5D6E-409C-BE32-E72D297353CC}">
                <c16:uniqueId val="{00000003-993B-4A80-BF2A-6FEED40EC97A}"/>
              </c:ext>
            </c:extLst>
          </c:dPt>
          <c:dPt>
            <c:idx val="23"/>
            <c:invertIfNegative val="0"/>
            <c:bubble3D val="0"/>
            <c:spPr>
              <a:solidFill>
                <a:srgbClr val="FF0000"/>
              </a:solidFill>
            </c:spPr>
            <c:extLst>
              <c:ext xmlns:c16="http://schemas.microsoft.com/office/drawing/2014/chart" uri="{C3380CC4-5D6E-409C-BE32-E72D297353CC}">
                <c16:uniqueId val="{00000005-993B-4A80-BF2A-6FEED40EC97A}"/>
              </c:ext>
            </c:extLst>
          </c:dPt>
          <c:cat>
            <c:strRef>
              <c:f>[trust_and_volunt.xls]i_q05f_by_lit.!$P$24:$P$50</c:f>
              <c:strCache>
                <c:ptCount val="27"/>
                <c:pt idx="0">
                  <c:v>Norway</c:v>
                </c:pt>
                <c:pt idx="1">
                  <c:v>United States</c:v>
                </c:pt>
                <c:pt idx="2">
                  <c:v>Finland</c:v>
                </c:pt>
                <c:pt idx="3">
                  <c:v>Cyprus</c:v>
                </c:pt>
                <c:pt idx="4">
                  <c:v>Denmark</c:v>
                </c:pt>
                <c:pt idx="5">
                  <c:v>Canada</c:v>
                </c:pt>
                <c:pt idx="6">
                  <c:v>Japan</c:v>
                </c:pt>
                <c:pt idx="7">
                  <c:v>Netherlands</c:v>
                </c:pt>
                <c:pt idx="8">
                  <c:v>Ireland</c:v>
                </c:pt>
                <c:pt idx="9">
                  <c:v>Austria</c:v>
                </c:pt>
                <c:pt idx="10">
                  <c:v>international Average</c:v>
                </c:pt>
                <c:pt idx="11">
                  <c:v>Sweden</c:v>
                </c:pt>
                <c:pt idx="12">
                  <c:v>Northern Ireland</c:v>
                </c:pt>
                <c:pt idx="13">
                  <c:v>Australia</c:v>
                </c:pt>
                <c:pt idx="14">
                  <c:v>Flanders</c:v>
                </c:pt>
                <c:pt idx="15">
                  <c:v>Germany</c:v>
                </c:pt>
                <c:pt idx="16">
                  <c:v>Estonia</c:v>
                </c:pt>
                <c:pt idx="17">
                  <c:v>Korea</c:v>
                </c:pt>
                <c:pt idx="18">
                  <c:v>England/N. Ireland</c:v>
                </c:pt>
                <c:pt idx="19">
                  <c:v>England</c:v>
                </c:pt>
                <c:pt idx="20">
                  <c:v>Italy</c:v>
                </c:pt>
                <c:pt idx="21">
                  <c:v>Slovak Republic</c:v>
                </c:pt>
                <c:pt idx="22">
                  <c:v>France</c:v>
                </c:pt>
                <c:pt idx="23">
                  <c:v>Poland</c:v>
                </c:pt>
                <c:pt idx="24">
                  <c:v>Spain</c:v>
                </c:pt>
                <c:pt idx="25">
                  <c:v>Czech Republic</c:v>
                </c:pt>
                <c:pt idx="26">
                  <c:v>Russian Federation</c:v>
                </c:pt>
              </c:strCache>
            </c:strRef>
          </c:cat>
          <c:val>
            <c:numRef>
              <c:f>[trust_and_volunt.xls]i_q05f_by_lit.!$Q$24:$Q$50</c:f>
              <c:numCache>
                <c:formatCode>0.0</c:formatCode>
                <c:ptCount val="27"/>
                <c:pt idx="0">
                  <c:v>62.174612893537962</c:v>
                </c:pt>
                <c:pt idx="1">
                  <c:v>64.168716877015115</c:v>
                </c:pt>
                <c:pt idx="2">
                  <c:v>68.350074761519508</c:v>
                </c:pt>
                <c:pt idx="3">
                  <c:v>68.669495740867305</c:v>
                </c:pt>
                <c:pt idx="4">
                  <c:v>70.243458654266675</c:v>
                </c:pt>
                <c:pt idx="5">
                  <c:v>70.417445064047897</c:v>
                </c:pt>
                <c:pt idx="6">
                  <c:v>71.478613363950302</c:v>
                </c:pt>
                <c:pt idx="7">
                  <c:v>71.497789511403809</c:v>
                </c:pt>
                <c:pt idx="8">
                  <c:v>73.303715401085398</c:v>
                </c:pt>
                <c:pt idx="9">
                  <c:v>75.860356718634435</c:v>
                </c:pt>
                <c:pt idx="10">
                  <c:v>77.825028284556254</c:v>
                </c:pt>
                <c:pt idx="11">
                  <c:v>78.066156400669954</c:v>
                </c:pt>
                <c:pt idx="12">
                  <c:v>78.853277488383483</c:v>
                </c:pt>
                <c:pt idx="13">
                  <c:v>79.221613127270871</c:v>
                </c:pt>
                <c:pt idx="14">
                  <c:v>80.28802946205316</c:v>
                </c:pt>
                <c:pt idx="15">
                  <c:v>80.833052246419683</c:v>
                </c:pt>
                <c:pt idx="16">
                  <c:v>81.950398234376649</c:v>
                </c:pt>
                <c:pt idx="17">
                  <c:v>82.562686103822926</c:v>
                </c:pt>
                <c:pt idx="18">
                  <c:v>83.043004326277924</c:v>
                </c:pt>
                <c:pt idx="19">
                  <c:v>83.195335294666535</c:v>
                </c:pt>
                <c:pt idx="20">
                  <c:v>84.246864317787711</c:v>
                </c:pt>
                <c:pt idx="21">
                  <c:v>84.646678438972103</c:v>
                </c:pt>
                <c:pt idx="22">
                  <c:v>85.680680578869641</c:v>
                </c:pt>
                <c:pt idx="23">
                  <c:v>86.731802076410872</c:v>
                </c:pt>
                <c:pt idx="24">
                  <c:v>88.597552536105113</c:v>
                </c:pt>
                <c:pt idx="25">
                  <c:v>88.787321165740593</c:v>
                </c:pt>
                <c:pt idx="26">
                  <c:v>90.778125369898532</c:v>
                </c:pt>
              </c:numCache>
            </c:numRef>
          </c:val>
          <c:extLst>
            <c:ext xmlns:c16="http://schemas.microsoft.com/office/drawing/2014/chart" uri="{C3380CC4-5D6E-409C-BE32-E72D297353CC}">
              <c16:uniqueId val="{00000006-993B-4A80-BF2A-6FEED40EC97A}"/>
            </c:ext>
          </c:extLst>
        </c:ser>
        <c:ser>
          <c:idx val="1"/>
          <c:order val="1"/>
          <c:tx>
            <c:strRef>
              <c:f>[trust_and_volunt.xls]i_q05f_by_lit.!$R$23</c:f>
              <c:strCache>
                <c:ptCount val="1"/>
                <c:pt idx="0">
                  <c:v>Level 4 and above</c:v>
                </c:pt>
              </c:strCache>
            </c:strRef>
          </c:tx>
          <c:spPr>
            <a:solidFill>
              <a:schemeClr val="tx2">
                <a:lumMod val="75000"/>
              </a:schemeClr>
            </a:solidFill>
          </c:spPr>
          <c:invertIfNegative val="0"/>
          <c:cat>
            <c:strRef>
              <c:f>[trust_and_volunt.xls]i_q05f_by_lit.!$P$24:$P$50</c:f>
              <c:strCache>
                <c:ptCount val="27"/>
                <c:pt idx="0">
                  <c:v>Norway</c:v>
                </c:pt>
                <c:pt idx="1">
                  <c:v>United States</c:v>
                </c:pt>
                <c:pt idx="2">
                  <c:v>Finland</c:v>
                </c:pt>
                <c:pt idx="3">
                  <c:v>Cyprus</c:v>
                </c:pt>
                <c:pt idx="4">
                  <c:v>Denmark</c:v>
                </c:pt>
                <c:pt idx="5">
                  <c:v>Canada</c:v>
                </c:pt>
                <c:pt idx="6">
                  <c:v>Japan</c:v>
                </c:pt>
                <c:pt idx="7">
                  <c:v>Netherlands</c:v>
                </c:pt>
                <c:pt idx="8">
                  <c:v>Ireland</c:v>
                </c:pt>
                <c:pt idx="9">
                  <c:v>Austria</c:v>
                </c:pt>
                <c:pt idx="10">
                  <c:v>international Average</c:v>
                </c:pt>
                <c:pt idx="11">
                  <c:v>Sweden</c:v>
                </c:pt>
                <c:pt idx="12">
                  <c:v>Northern Ireland</c:v>
                </c:pt>
                <c:pt idx="13">
                  <c:v>Australia</c:v>
                </c:pt>
                <c:pt idx="14">
                  <c:v>Flanders</c:v>
                </c:pt>
                <c:pt idx="15">
                  <c:v>Germany</c:v>
                </c:pt>
                <c:pt idx="16">
                  <c:v>Estonia</c:v>
                </c:pt>
                <c:pt idx="17">
                  <c:v>Korea</c:v>
                </c:pt>
                <c:pt idx="18">
                  <c:v>England/N. Ireland</c:v>
                </c:pt>
                <c:pt idx="19">
                  <c:v>England</c:v>
                </c:pt>
                <c:pt idx="20">
                  <c:v>Italy</c:v>
                </c:pt>
                <c:pt idx="21">
                  <c:v>Slovak Republic</c:v>
                </c:pt>
                <c:pt idx="22">
                  <c:v>France</c:v>
                </c:pt>
                <c:pt idx="23">
                  <c:v>Poland</c:v>
                </c:pt>
                <c:pt idx="24">
                  <c:v>Spain</c:v>
                </c:pt>
                <c:pt idx="25">
                  <c:v>Czech Republic</c:v>
                </c:pt>
                <c:pt idx="26">
                  <c:v>Russian Federation</c:v>
                </c:pt>
              </c:strCache>
            </c:strRef>
          </c:cat>
          <c:val>
            <c:numRef>
              <c:f>[trust_and_volunt.xls]i_q05f_by_lit.!$R$24:$R$50</c:f>
              <c:numCache>
                <c:formatCode>0.0</c:formatCode>
                <c:ptCount val="27"/>
                <c:pt idx="0">
                  <c:v>34.424665272031653</c:v>
                </c:pt>
                <c:pt idx="1">
                  <c:v>25.079343059513199</c:v>
                </c:pt>
                <c:pt idx="2">
                  <c:v>48.404387453576277</c:v>
                </c:pt>
                <c:pt idx="3">
                  <c:v>68.890998877199166</c:v>
                </c:pt>
                <c:pt idx="4">
                  <c:v>47.706867231467797</c:v>
                </c:pt>
                <c:pt idx="5">
                  <c:v>35.315775937175779</c:v>
                </c:pt>
                <c:pt idx="6">
                  <c:v>64.103933819378611</c:v>
                </c:pt>
                <c:pt idx="7">
                  <c:v>52.877667879467843</c:v>
                </c:pt>
                <c:pt idx="8">
                  <c:v>51.323817699607083</c:v>
                </c:pt>
                <c:pt idx="9">
                  <c:v>60.037120515184597</c:v>
                </c:pt>
                <c:pt idx="10">
                  <c:v>55.25380721074535</c:v>
                </c:pt>
                <c:pt idx="11">
                  <c:v>50.484907532942429</c:v>
                </c:pt>
                <c:pt idx="12">
                  <c:v>50.021709144713128</c:v>
                </c:pt>
                <c:pt idx="13">
                  <c:v>47.177682672107323</c:v>
                </c:pt>
                <c:pt idx="14">
                  <c:v>52.888361771242117</c:v>
                </c:pt>
                <c:pt idx="15">
                  <c:v>51.964454930385443</c:v>
                </c:pt>
                <c:pt idx="16">
                  <c:v>57.913739543142391</c:v>
                </c:pt>
                <c:pt idx="17">
                  <c:v>65.170650525537056</c:v>
                </c:pt>
                <c:pt idx="18">
                  <c:v>52.373089369721697</c:v>
                </c:pt>
                <c:pt idx="19">
                  <c:v>52.433595875545613</c:v>
                </c:pt>
                <c:pt idx="20">
                  <c:v>71.245806445370675</c:v>
                </c:pt>
                <c:pt idx="21">
                  <c:v>69.538862322317684</c:v>
                </c:pt>
                <c:pt idx="22">
                  <c:v>62.949497991601802</c:v>
                </c:pt>
                <c:pt idx="23">
                  <c:v>69.776555888707193</c:v>
                </c:pt>
                <c:pt idx="24">
                  <c:v>69.711447945572615</c:v>
                </c:pt>
                <c:pt idx="25">
                  <c:v>75.11512283034665</c:v>
                </c:pt>
                <c:pt idx="26">
                  <c:v>74.643386801157519</c:v>
                </c:pt>
              </c:numCache>
            </c:numRef>
          </c:val>
          <c:extLst>
            <c:ext xmlns:c16="http://schemas.microsoft.com/office/drawing/2014/chart" uri="{C3380CC4-5D6E-409C-BE32-E72D297353CC}">
              <c16:uniqueId val="{00000007-993B-4A80-BF2A-6FEED40EC97A}"/>
            </c:ext>
          </c:extLst>
        </c:ser>
        <c:dLbls>
          <c:showLegendKey val="0"/>
          <c:showVal val="0"/>
          <c:showCatName val="0"/>
          <c:showSerName val="0"/>
          <c:showPercent val="0"/>
          <c:showBubbleSize val="0"/>
        </c:dLbls>
        <c:gapWidth val="75"/>
        <c:overlap val="-25"/>
        <c:axId val="135919872"/>
        <c:axId val="135983104"/>
      </c:barChart>
      <c:catAx>
        <c:axId val="135919872"/>
        <c:scaling>
          <c:orientation val="minMax"/>
        </c:scaling>
        <c:delete val="0"/>
        <c:axPos val="b"/>
        <c:numFmt formatCode="General" sourceLinked="0"/>
        <c:majorTickMark val="none"/>
        <c:minorTickMark val="none"/>
        <c:tickLblPos val="nextTo"/>
        <c:crossAx val="135983104"/>
        <c:crosses val="autoZero"/>
        <c:auto val="1"/>
        <c:lblAlgn val="ctr"/>
        <c:lblOffset val="100"/>
        <c:noMultiLvlLbl val="0"/>
      </c:catAx>
      <c:valAx>
        <c:axId val="135983104"/>
        <c:scaling>
          <c:orientation val="minMax"/>
        </c:scaling>
        <c:delete val="0"/>
        <c:axPos val="l"/>
        <c:majorGridlines/>
        <c:numFmt formatCode="0.0" sourceLinked="1"/>
        <c:majorTickMark val="none"/>
        <c:minorTickMark val="none"/>
        <c:tickLblPos val="nextTo"/>
        <c:spPr>
          <a:ln w="9525">
            <a:noFill/>
          </a:ln>
        </c:spPr>
        <c:crossAx val="135919872"/>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06E52-BF42-4A0B-910E-CC27474A6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6697</Words>
  <Characters>35496</Characters>
  <Application>Microsoft Office Word</Application>
  <DocSecurity>0</DocSecurity>
  <Lines>295</Lines>
  <Paragraphs>84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dc:creator>
  <cp:keywords/>
  <dc:description/>
  <cp:lastModifiedBy>Diana Holmqvist</cp:lastModifiedBy>
  <cp:revision>2</cp:revision>
  <cp:lastPrinted>2016-06-21T13:18:00Z</cp:lastPrinted>
  <dcterms:created xsi:type="dcterms:W3CDTF">2017-01-15T17:44:00Z</dcterms:created>
  <dcterms:modified xsi:type="dcterms:W3CDTF">2017-01-15T17:44:00Z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6">
    <vt:lpwstr>False</vt:lpwstr>
  </property>
</Properties>
</file>